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jc w:val="center"/>
        <w:rPr>
          <w:sz w:val="56"/>
          <w:szCs w:val="56"/>
        </w:rPr>
      </w:pPr>
    </w:p>
    <w:p>
      <w:pPr>
        <w:pStyle w:val="9"/>
        <w:jc w:val="center"/>
        <w:rPr>
          <w:sz w:val="56"/>
          <w:szCs w:val="56"/>
        </w:rPr>
      </w:pPr>
    </w:p>
    <w:p>
      <w:pPr>
        <w:pStyle w:val="9"/>
        <w:jc w:val="center"/>
        <w:rPr>
          <w:sz w:val="84"/>
          <w:szCs w:val="84"/>
        </w:rPr>
      </w:pPr>
    </w:p>
    <w:p>
      <w:pPr>
        <w:pStyle w:val="9"/>
        <w:jc w:val="center"/>
        <w:rPr>
          <w:sz w:val="84"/>
          <w:szCs w:val="84"/>
        </w:rPr>
      </w:pPr>
    </w:p>
    <w:p>
      <w:pPr>
        <w:pStyle w:val="9"/>
        <w:jc w:val="center"/>
        <w:rPr>
          <w:sz w:val="84"/>
          <w:szCs w:val="84"/>
        </w:rPr>
      </w:pPr>
      <w:r>
        <w:rPr>
          <w:rFonts w:hint="eastAsia"/>
          <w:sz w:val="84"/>
          <w:szCs w:val="84"/>
        </w:rPr>
        <w:t>2020年度</w:t>
      </w:r>
    </w:p>
    <w:p>
      <w:pPr>
        <w:pStyle w:val="9"/>
        <w:jc w:val="center"/>
        <w:rPr>
          <w:sz w:val="84"/>
          <w:szCs w:val="84"/>
        </w:rPr>
      </w:pPr>
      <w:r>
        <w:rPr>
          <w:rFonts w:hint="eastAsia"/>
          <w:sz w:val="84"/>
          <w:szCs w:val="84"/>
        </w:rPr>
        <w:t>湖南省白泥湖戒毒康复所</w:t>
      </w:r>
    </w:p>
    <w:p>
      <w:pPr>
        <w:pStyle w:val="9"/>
        <w:jc w:val="center"/>
        <w:rPr>
          <w:sz w:val="84"/>
          <w:szCs w:val="84"/>
        </w:rPr>
      </w:pPr>
      <w:r>
        <w:rPr>
          <w:rFonts w:hint="eastAsia"/>
          <w:sz w:val="84"/>
          <w:szCs w:val="84"/>
        </w:rPr>
        <w:t>决算</w:t>
      </w: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32"/>
          <w:szCs w:val="32"/>
        </w:rPr>
      </w:pPr>
    </w:p>
    <w:p>
      <w:pPr>
        <w:pStyle w:val="9"/>
        <w:jc w:val="center"/>
        <w:rPr>
          <w:sz w:val="32"/>
          <w:szCs w:val="32"/>
        </w:rPr>
      </w:pPr>
    </w:p>
    <w:p>
      <w:pPr>
        <w:pStyle w:val="9"/>
        <w:jc w:val="center"/>
        <w:rPr>
          <w:sz w:val="32"/>
          <w:szCs w:val="32"/>
        </w:rPr>
      </w:pPr>
    </w:p>
    <w:p>
      <w:pPr>
        <w:pStyle w:val="9"/>
        <w:jc w:val="center"/>
        <w:rPr>
          <w:sz w:val="32"/>
          <w:szCs w:val="32"/>
        </w:rPr>
      </w:pPr>
    </w:p>
    <w:p>
      <w:pPr>
        <w:pStyle w:val="9"/>
        <w:jc w:val="center"/>
        <w:rPr>
          <w:sz w:val="32"/>
          <w:szCs w:val="32"/>
        </w:rPr>
      </w:pPr>
    </w:p>
    <w:p>
      <w:pPr>
        <w:pStyle w:val="9"/>
        <w:spacing w:line="540" w:lineRule="exact"/>
        <w:jc w:val="center"/>
        <w:rPr>
          <w:sz w:val="56"/>
          <w:szCs w:val="56"/>
        </w:rPr>
      </w:pPr>
    </w:p>
    <w:p>
      <w:pPr>
        <w:pStyle w:val="9"/>
        <w:spacing w:line="500" w:lineRule="exact"/>
        <w:jc w:val="center"/>
        <w:rPr>
          <w:b/>
          <w:sz w:val="36"/>
          <w:szCs w:val="28"/>
        </w:rPr>
      </w:pPr>
    </w:p>
    <w:p>
      <w:pPr>
        <w:pStyle w:val="9"/>
        <w:spacing w:line="500" w:lineRule="exact"/>
        <w:jc w:val="center"/>
        <w:rPr>
          <w:b/>
          <w:sz w:val="36"/>
          <w:szCs w:val="28"/>
        </w:rPr>
      </w:pPr>
      <w:r>
        <w:rPr>
          <w:rFonts w:hint="eastAsia"/>
          <w:b/>
          <w:sz w:val="36"/>
          <w:szCs w:val="28"/>
        </w:rPr>
        <w:t>目录</w:t>
      </w:r>
    </w:p>
    <w:p>
      <w:pPr>
        <w:pStyle w:val="9"/>
        <w:spacing w:line="500" w:lineRule="exact"/>
        <w:rPr>
          <w:rFonts w:ascii="仿宋_GB2312" w:hAnsi="仿宋_GB2312" w:cs="仿宋_GB2312"/>
          <w:b/>
          <w:sz w:val="28"/>
          <w:szCs w:val="28"/>
        </w:rPr>
      </w:pPr>
      <w:r>
        <w:rPr>
          <w:rFonts w:hint="eastAsia"/>
          <w:b/>
          <w:sz w:val="28"/>
          <w:szCs w:val="28"/>
        </w:rPr>
        <w:t>第一部分湖南省白泥湖戒毒康复所单位概况</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一、单位职责</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pPr>
        <w:pStyle w:val="9"/>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20年度单位决算表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9"/>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9"/>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20年度单位决算情况说明</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关于机关运行经费支出说明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十一、关于政府采购支出说明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十二、关于国有资产占用情况说明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十三、关</w:t>
      </w:r>
      <w:r>
        <w:rPr>
          <w:rFonts w:hint="eastAsia" w:cs="仿宋_GB2312" w:asciiTheme="minorEastAsia" w:hAnsiTheme="minorEastAsia" w:eastAsiaTheme="minorEastAsia"/>
          <w:sz w:val="28"/>
          <w:szCs w:val="28"/>
        </w:rPr>
        <w:t>于2020年</w:t>
      </w:r>
      <w:r>
        <w:rPr>
          <w:rFonts w:hint="eastAsia" w:ascii="仿宋_GB2312" w:hAnsi="仿宋_GB2312" w:cs="仿宋_GB2312" w:eastAsiaTheme="minorEastAsia"/>
          <w:sz w:val="28"/>
          <w:szCs w:val="28"/>
        </w:rPr>
        <w:t>度预算绩效情况的说明</w:t>
      </w: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9"/>
        <w:jc w:val="center"/>
        <w:rPr>
          <w:sz w:val="84"/>
          <w:szCs w:val="84"/>
        </w:rPr>
      </w:pPr>
      <w:r>
        <w:rPr>
          <w:rFonts w:hint="eastAsia"/>
          <w:sz w:val="84"/>
          <w:szCs w:val="84"/>
        </w:rPr>
        <w:t>第一部分</w:t>
      </w:r>
      <w:r>
        <w:rPr>
          <w:sz w:val="84"/>
          <w:szCs w:val="84"/>
        </w:rPr>
        <w:t xml:space="preserve"> </w:t>
      </w:r>
    </w:p>
    <w:p>
      <w:pPr>
        <w:pStyle w:val="9"/>
        <w:jc w:val="center"/>
        <w:rPr>
          <w:sz w:val="84"/>
          <w:szCs w:val="84"/>
        </w:rPr>
      </w:pPr>
    </w:p>
    <w:p>
      <w:pPr>
        <w:pStyle w:val="9"/>
        <w:jc w:val="center"/>
        <w:rPr>
          <w:sz w:val="84"/>
          <w:szCs w:val="84"/>
        </w:rPr>
      </w:pPr>
      <w:r>
        <w:rPr>
          <w:rFonts w:hint="eastAsia"/>
          <w:sz w:val="84"/>
          <w:szCs w:val="84"/>
        </w:rPr>
        <w:t>湖南省白泥湖戒毒康复所</w:t>
      </w:r>
    </w:p>
    <w:p>
      <w:pPr>
        <w:pStyle w:val="9"/>
        <w:jc w:val="center"/>
        <w:rPr>
          <w:sz w:val="84"/>
          <w:szCs w:val="84"/>
        </w:rPr>
      </w:pPr>
      <w:r>
        <w:rPr>
          <w:rFonts w:hint="eastAsia"/>
          <w:sz w:val="84"/>
          <w:szCs w:val="84"/>
        </w:rPr>
        <w:t>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0"/>
        <w:ind w:left="720" w:firstLine="0" w:firstLineChars="0"/>
        <w:jc w:val="left"/>
        <w:rPr>
          <w:rFonts w:ascii="黑体" w:hAnsi="黑体" w:eastAsia="黑体"/>
          <w:sz w:val="32"/>
          <w:szCs w:val="32"/>
        </w:rPr>
      </w:pPr>
    </w:p>
    <w:p>
      <w:pPr>
        <w:pStyle w:val="10"/>
        <w:numPr>
          <w:ilvl w:val="0"/>
          <w:numId w:val="1"/>
        </w:numPr>
        <w:ind w:firstLineChars="0"/>
        <w:jc w:val="left"/>
        <w:rPr>
          <w:rFonts w:ascii="黑体" w:hAnsi="黑体" w:eastAsia="黑体"/>
          <w:sz w:val="32"/>
          <w:szCs w:val="32"/>
        </w:rPr>
      </w:pPr>
      <w:r>
        <w:rPr>
          <w:rFonts w:ascii="黑体" w:hAnsi="黑体" w:eastAsia="黑体"/>
          <w:sz w:val="32"/>
          <w:szCs w:val="32"/>
        </w:rPr>
        <w:t>单位职责</w:t>
      </w:r>
    </w:p>
    <w:p>
      <w:pPr>
        <w:ind w:firstLine="800" w:firstLineChars="250"/>
        <w:jc w:val="left"/>
        <w:rPr>
          <w:rFonts w:asciiTheme="minorEastAsia" w:hAnsiTheme="minorEastAsia"/>
          <w:sz w:val="32"/>
          <w:szCs w:val="32"/>
        </w:rPr>
      </w:pPr>
      <w:r>
        <w:rPr>
          <w:rFonts w:hint="eastAsia" w:asciiTheme="minorEastAsia" w:hAnsiTheme="minorEastAsia"/>
          <w:sz w:val="32"/>
          <w:szCs w:val="32"/>
        </w:rPr>
        <w:t>湖南省白泥湖戒毒康复所是经湖南省政府批准成立的一家政法单位，隶属于省司法厅和省戒毒管理局，主要收治自愿戒毒人员、戒治管控人员、社会适应性人员，协助省戒毒管理局指导与支持社区戒毒（康复）工作，协助省局开展系统教育基地培训。</w:t>
      </w: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spacing w:line="600" w:lineRule="exact"/>
        <w:ind w:firstLine="480" w:firstLineChars="150"/>
        <w:rPr>
          <w:rFonts w:asciiTheme="minorEastAsia" w:hAnsiTheme="minorEastAsia"/>
          <w:bCs/>
          <w:kern w:val="0"/>
          <w:sz w:val="32"/>
          <w:szCs w:val="32"/>
        </w:rPr>
      </w:pPr>
      <w:r>
        <w:rPr>
          <w:rFonts w:hint="eastAsia" w:asciiTheme="minorEastAsia" w:hAnsiTheme="minorEastAsia"/>
          <w:bCs/>
          <w:kern w:val="0"/>
          <w:sz w:val="32"/>
          <w:szCs w:val="32"/>
        </w:rPr>
        <w:t>（一）内设机构设置。湖南</w:t>
      </w:r>
      <w:r>
        <w:rPr>
          <w:rFonts w:asciiTheme="minorEastAsia" w:hAnsiTheme="minorEastAsia"/>
          <w:bCs/>
          <w:kern w:val="0"/>
          <w:sz w:val="32"/>
          <w:szCs w:val="32"/>
        </w:rPr>
        <w:t>省白泥湖戒毒康复所</w:t>
      </w:r>
      <w:r>
        <w:rPr>
          <w:rFonts w:hint="eastAsia" w:asciiTheme="minorEastAsia" w:hAnsiTheme="minorEastAsia"/>
          <w:bCs/>
          <w:kern w:val="0"/>
          <w:sz w:val="32"/>
          <w:szCs w:val="32"/>
        </w:rPr>
        <w:t>内设机构包括：政治处、办公室、财务科、信息科、生活医疗科、所政管理科、教育矫治科、戒毒医疗大队、康复矫治大队、回归指导大队、纪委监察室。</w:t>
      </w:r>
    </w:p>
    <w:p>
      <w:pPr>
        <w:widowControl/>
        <w:spacing w:line="600" w:lineRule="exact"/>
        <w:ind w:firstLine="480" w:firstLineChars="150"/>
        <w:rPr>
          <w:rFonts w:asciiTheme="minorEastAsia" w:hAnsiTheme="minorEastAsia"/>
          <w:bCs/>
          <w:kern w:val="0"/>
          <w:sz w:val="32"/>
          <w:szCs w:val="32"/>
        </w:rPr>
      </w:pPr>
      <w:r>
        <w:rPr>
          <w:rFonts w:hint="eastAsia" w:asciiTheme="minorEastAsia" w:hAnsiTheme="minorEastAsia"/>
          <w:bCs/>
          <w:kern w:val="0"/>
          <w:sz w:val="32"/>
          <w:szCs w:val="32"/>
        </w:rPr>
        <w:t>（二）决算单位构成。</w:t>
      </w:r>
      <w:r>
        <w:rPr>
          <w:rFonts w:asciiTheme="minorEastAsia" w:hAnsiTheme="minorEastAsia"/>
          <w:bCs/>
          <w:kern w:val="0"/>
          <w:sz w:val="32"/>
          <w:szCs w:val="32"/>
        </w:rPr>
        <w:t>20</w:t>
      </w:r>
      <w:r>
        <w:rPr>
          <w:rFonts w:hint="eastAsia" w:asciiTheme="minorEastAsia" w:hAnsiTheme="minorEastAsia"/>
          <w:bCs/>
          <w:kern w:val="0"/>
          <w:sz w:val="32"/>
          <w:szCs w:val="32"/>
        </w:rPr>
        <w:t>20年决算汇总公开单位构成为湖南</w:t>
      </w:r>
      <w:r>
        <w:rPr>
          <w:rFonts w:asciiTheme="minorEastAsia" w:hAnsiTheme="minorEastAsia"/>
          <w:bCs/>
          <w:kern w:val="0"/>
          <w:sz w:val="32"/>
          <w:szCs w:val="32"/>
        </w:rPr>
        <w:t>省白泥湖戒毒康复所</w:t>
      </w:r>
      <w:r>
        <w:rPr>
          <w:rFonts w:hint="eastAsia" w:asciiTheme="minorEastAsia" w:hAnsiTheme="minorEastAsia"/>
          <w:bCs/>
          <w:kern w:val="0"/>
          <w:sz w:val="32"/>
          <w:szCs w:val="32"/>
        </w:rPr>
        <w:t>。</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r>
        <w:rPr>
          <w:rFonts w:hint="eastAsia"/>
          <w:sz w:val="72"/>
          <w:szCs w:val="72"/>
        </w:rPr>
        <w:t>第二部分</w:t>
      </w:r>
    </w:p>
    <w:p>
      <w:pPr>
        <w:jc w:val="center"/>
        <w:rPr>
          <w:sz w:val="72"/>
          <w:szCs w:val="72"/>
        </w:rPr>
      </w:pPr>
    </w:p>
    <w:p>
      <w:pPr>
        <w:jc w:val="center"/>
        <w:rPr>
          <w:sz w:val="72"/>
          <w:szCs w:val="72"/>
        </w:rPr>
      </w:pPr>
      <w:r>
        <w:rPr>
          <w:rFonts w:hint="eastAsia"/>
          <w:sz w:val="72"/>
          <w:szCs w:val="72"/>
        </w:rPr>
        <w:t>湖南省白泥湖戒毒康复所</w:t>
      </w:r>
    </w:p>
    <w:p>
      <w:pPr>
        <w:jc w:val="center"/>
        <w:rPr>
          <w:sz w:val="72"/>
          <w:szCs w:val="72"/>
        </w:rPr>
      </w:pPr>
      <w:r>
        <w:rPr>
          <w:rFonts w:hint="eastAsia"/>
          <w:sz w:val="72"/>
          <w:szCs w:val="72"/>
        </w:rPr>
        <w:t>决算表</w:t>
      </w:r>
    </w:p>
    <w:p>
      <w:pPr>
        <w:pStyle w:val="10"/>
        <w:widowControl/>
        <w:ind w:left="420" w:firstLine="3600" w:firstLineChars="500"/>
        <w:jc w:val="left"/>
        <w:rPr>
          <w:rFonts w:cs="宋体" w:asciiTheme="minorEastAsia" w:hAnsiTheme="minorEastAsia"/>
          <w:kern w:val="0"/>
          <w:sz w:val="32"/>
          <w:szCs w:val="32"/>
        </w:rPr>
      </w:pPr>
      <w:r>
        <w:rPr>
          <w:rFonts w:hint="eastAsia"/>
          <w:sz w:val="72"/>
          <w:szCs w:val="72"/>
        </w:rPr>
        <w:t>(附后)</w:t>
      </w:r>
    </w:p>
    <w:p>
      <w:pPr>
        <w:jc w:val="center"/>
        <w:rPr>
          <w:sz w:val="72"/>
          <w:szCs w:val="72"/>
        </w:rPr>
      </w:pPr>
    </w:p>
    <w:tbl>
      <w:tblPr>
        <w:tblStyle w:val="5"/>
        <w:tblW w:w="14190" w:type="dxa"/>
        <w:tblInd w:w="93" w:type="dxa"/>
        <w:tblLayout w:type="autofit"/>
        <w:tblCellMar>
          <w:top w:w="0" w:type="dxa"/>
          <w:left w:w="108" w:type="dxa"/>
          <w:bottom w:w="0" w:type="dxa"/>
          <w:right w:w="108" w:type="dxa"/>
        </w:tblCellMar>
      </w:tblPr>
      <w:tblGrid>
        <w:gridCol w:w="14190"/>
      </w:tblGrid>
      <w:tr>
        <w:trPr>
          <w:trHeight w:val="720" w:hRule="atLeast"/>
        </w:trPr>
        <w:tc>
          <w:tcPr>
            <w:tcW w:w="14190" w:type="dxa"/>
            <w:tcBorders>
              <w:top w:val="nil"/>
              <w:left w:val="nil"/>
              <w:bottom w:val="nil"/>
              <w:right w:val="nil"/>
            </w:tcBorders>
            <w:shd w:val="clear" w:color="000000" w:fill="FFFFFF"/>
            <w:vAlign w:val="center"/>
          </w:tcPr>
          <w:p>
            <w:pPr>
              <w:pStyle w:val="10"/>
              <w:widowControl/>
              <w:numPr>
                <w:ilvl w:val="0"/>
                <w:numId w:val="2"/>
              </w:numPr>
              <w:ind w:left="1608" w:hanging="425" w:firstLineChars="0"/>
              <w:jc w:val="left"/>
              <w:rPr>
                <w:rFonts w:cs="宋体" w:asciiTheme="minorEastAsia" w:hAnsiTheme="minorEastAsia"/>
                <w:kern w:val="0"/>
                <w:sz w:val="32"/>
                <w:szCs w:val="32"/>
              </w:rPr>
            </w:pPr>
            <w:r>
              <w:rPr>
                <w:rFonts w:hint="eastAsia" w:cs="宋体" w:asciiTheme="minorEastAsia" w:hAnsiTheme="minorEastAsia"/>
                <w:kern w:val="0"/>
                <w:sz w:val="32"/>
                <w:szCs w:val="32"/>
              </w:rPr>
              <w:t>收入支出决算总表</w:t>
            </w:r>
          </w:p>
          <w:p>
            <w:pPr>
              <w:pStyle w:val="10"/>
              <w:widowControl/>
              <w:numPr>
                <w:ilvl w:val="0"/>
                <w:numId w:val="2"/>
              </w:numPr>
              <w:ind w:left="1608" w:hanging="425" w:firstLineChars="0"/>
              <w:jc w:val="left"/>
              <w:rPr>
                <w:rFonts w:cs="宋体" w:asciiTheme="minorEastAsia" w:hAnsiTheme="minorEastAsia"/>
                <w:kern w:val="0"/>
                <w:sz w:val="32"/>
                <w:szCs w:val="32"/>
              </w:rPr>
            </w:pPr>
            <w:r>
              <w:rPr>
                <w:rFonts w:hint="eastAsia" w:cs="宋体" w:asciiTheme="minorEastAsia" w:hAnsiTheme="minorEastAsia"/>
                <w:kern w:val="0"/>
                <w:sz w:val="32"/>
                <w:szCs w:val="32"/>
              </w:rPr>
              <w:t>收入决算表</w:t>
            </w:r>
          </w:p>
          <w:p>
            <w:pPr>
              <w:pStyle w:val="10"/>
              <w:widowControl/>
              <w:numPr>
                <w:ilvl w:val="0"/>
                <w:numId w:val="2"/>
              </w:numPr>
              <w:ind w:left="1608" w:hanging="425" w:firstLineChars="0"/>
              <w:jc w:val="left"/>
              <w:rPr>
                <w:rFonts w:cs="宋体" w:asciiTheme="minorEastAsia" w:hAnsiTheme="minorEastAsia"/>
                <w:kern w:val="0"/>
                <w:sz w:val="32"/>
                <w:szCs w:val="32"/>
              </w:rPr>
            </w:pPr>
            <w:r>
              <w:rPr>
                <w:rFonts w:hint="eastAsia" w:cs="宋体" w:asciiTheme="minorEastAsia" w:hAnsiTheme="minorEastAsia"/>
                <w:kern w:val="0"/>
                <w:sz w:val="32"/>
                <w:szCs w:val="32"/>
              </w:rPr>
              <w:t>支出决算表</w:t>
            </w:r>
          </w:p>
          <w:p>
            <w:pPr>
              <w:pStyle w:val="10"/>
              <w:widowControl/>
              <w:numPr>
                <w:ilvl w:val="0"/>
                <w:numId w:val="2"/>
              </w:numPr>
              <w:ind w:left="1608" w:hanging="425" w:firstLineChars="0"/>
              <w:jc w:val="left"/>
              <w:rPr>
                <w:rFonts w:cs="宋体" w:asciiTheme="minorEastAsia" w:hAnsiTheme="minorEastAsia"/>
                <w:kern w:val="0"/>
                <w:sz w:val="32"/>
                <w:szCs w:val="32"/>
              </w:rPr>
            </w:pPr>
            <w:r>
              <w:rPr>
                <w:rFonts w:hint="eastAsia" w:cs="宋体" w:asciiTheme="minorEastAsia" w:hAnsiTheme="minorEastAsia"/>
                <w:kern w:val="0"/>
                <w:sz w:val="32"/>
                <w:szCs w:val="32"/>
              </w:rPr>
              <w:t>财政拨款收入支出决算总表</w:t>
            </w:r>
          </w:p>
          <w:p>
            <w:pPr>
              <w:pStyle w:val="10"/>
              <w:widowControl/>
              <w:numPr>
                <w:ilvl w:val="0"/>
                <w:numId w:val="2"/>
              </w:numPr>
              <w:ind w:left="1608" w:hanging="425" w:firstLineChars="0"/>
              <w:jc w:val="left"/>
              <w:rPr>
                <w:rFonts w:cs="宋体" w:asciiTheme="minorEastAsia" w:hAnsiTheme="minorEastAsia"/>
                <w:kern w:val="0"/>
                <w:sz w:val="32"/>
                <w:szCs w:val="32"/>
              </w:rPr>
            </w:pPr>
            <w:r>
              <w:rPr>
                <w:rFonts w:hint="eastAsia" w:cs="宋体" w:asciiTheme="minorEastAsia" w:hAnsiTheme="minorEastAsia"/>
                <w:kern w:val="0"/>
                <w:sz w:val="32"/>
                <w:szCs w:val="32"/>
              </w:rPr>
              <w:t>一般公共预算财政拨款支出决算表</w:t>
            </w:r>
          </w:p>
          <w:p>
            <w:pPr>
              <w:pStyle w:val="10"/>
              <w:widowControl/>
              <w:numPr>
                <w:ilvl w:val="0"/>
                <w:numId w:val="2"/>
              </w:numPr>
              <w:ind w:left="1608" w:hanging="425" w:firstLineChars="0"/>
              <w:jc w:val="left"/>
              <w:rPr>
                <w:rFonts w:cs="宋体" w:asciiTheme="minorEastAsia" w:hAnsiTheme="minorEastAsia"/>
                <w:kern w:val="0"/>
                <w:sz w:val="32"/>
                <w:szCs w:val="32"/>
              </w:rPr>
            </w:pPr>
            <w:r>
              <w:rPr>
                <w:rFonts w:hint="eastAsia" w:cs="宋体" w:asciiTheme="minorEastAsia" w:hAnsiTheme="minorEastAsia"/>
                <w:kern w:val="0"/>
                <w:sz w:val="32"/>
                <w:szCs w:val="32"/>
              </w:rPr>
              <w:t>一般公共预算财政拨款基本支出决算表</w:t>
            </w:r>
          </w:p>
          <w:p>
            <w:pPr>
              <w:pStyle w:val="10"/>
              <w:widowControl/>
              <w:numPr>
                <w:ilvl w:val="0"/>
                <w:numId w:val="2"/>
              </w:numPr>
              <w:ind w:left="1608" w:hanging="425" w:firstLineChars="0"/>
              <w:jc w:val="left"/>
              <w:rPr>
                <w:rFonts w:cs="宋体" w:asciiTheme="minorEastAsia" w:hAnsiTheme="minorEastAsia"/>
                <w:kern w:val="0"/>
                <w:sz w:val="32"/>
                <w:szCs w:val="32"/>
              </w:rPr>
            </w:pPr>
            <w:r>
              <w:rPr>
                <w:rFonts w:hint="eastAsia" w:cs="宋体" w:asciiTheme="minorEastAsia" w:hAnsiTheme="minorEastAsia"/>
                <w:kern w:val="0"/>
                <w:sz w:val="32"/>
                <w:szCs w:val="32"/>
              </w:rPr>
              <w:t>一般公共预算财政拨款“三公”经费支出决算表</w:t>
            </w:r>
          </w:p>
          <w:p>
            <w:pPr>
              <w:pStyle w:val="10"/>
              <w:widowControl/>
              <w:numPr>
                <w:ilvl w:val="0"/>
                <w:numId w:val="2"/>
              </w:numPr>
              <w:ind w:left="1608" w:hanging="425" w:firstLineChars="0"/>
              <w:jc w:val="left"/>
              <w:rPr>
                <w:rFonts w:cs="宋体" w:asciiTheme="minorEastAsia" w:hAnsiTheme="minorEastAsia"/>
                <w:kern w:val="0"/>
                <w:sz w:val="32"/>
                <w:szCs w:val="32"/>
              </w:rPr>
            </w:pPr>
            <w:r>
              <w:rPr>
                <w:rFonts w:hint="eastAsia" w:cs="宋体" w:asciiTheme="minorEastAsia" w:hAnsiTheme="minorEastAsia"/>
                <w:kern w:val="0"/>
                <w:sz w:val="32"/>
                <w:szCs w:val="32"/>
              </w:rPr>
              <w:t>政府性基金预算财政拨款支出决算表</w:t>
            </w:r>
          </w:p>
          <w:p>
            <w:pPr>
              <w:pStyle w:val="10"/>
              <w:widowControl/>
              <w:numPr>
                <w:ilvl w:val="0"/>
                <w:numId w:val="2"/>
              </w:numPr>
              <w:ind w:left="1608" w:hanging="425" w:firstLineChars="0"/>
              <w:jc w:val="left"/>
              <w:rPr>
                <w:rFonts w:cs="宋体" w:asciiTheme="minorEastAsia" w:hAnsiTheme="minorEastAsia"/>
                <w:kern w:val="0"/>
                <w:sz w:val="32"/>
                <w:szCs w:val="32"/>
              </w:rPr>
            </w:pPr>
            <w:r>
              <w:rPr>
                <w:rFonts w:hint="eastAsia" w:cs="宋体" w:asciiTheme="minorEastAsia" w:hAnsiTheme="minorEastAsia"/>
                <w:kern w:val="0"/>
                <w:sz w:val="32"/>
                <w:szCs w:val="32"/>
              </w:rPr>
              <w:t>国有资本经营预算财政拨款支出决算表</w:t>
            </w:r>
          </w:p>
          <w:p>
            <w:pPr>
              <w:widowControl/>
              <w:jc w:val="center"/>
              <w:rPr>
                <w:rFonts w:ascii="华文中宋" w:hAnsi="华文中宋" w:eastAsia="华文中宋" w:cs="宋体"/>
                <w:kern w:val="0"/>
                <w:sz w:val="32"/>
                <w:szCs w:val="32"/>
              </w:rPr>
            </w:pPr>
          </w:p>
        </w:tc>
      </w:tr>
    </w:tbl>
    <w:p>
      <w:pPr>
        <w:pStyle w:val="9"/>
        <w:rPr>
          <w:sz w:val="72"/>
          <w:szCs w:val="72"/>
        </w:rPr>
      </w:pPr>
    </w:p>
    <w:p>
      <w:pPr>
        <w:pStyle w:val="9"/>
        <w:rPr>
          <w:sz w:val="72"/>
          <w:szCs w:val="72"/>
        </w:rPr>
      </w:pPr>
    </w:p>
    <w:p>
      <w:pPr>
        <w:pStyle w:val="9"/>
        <w:rPr>
          <w:sz w:val="72"/>
          <w:szCs w:val="72"/>
        </w:rPr>
      </w:pPr>
    </w:p>
    <w:p>
      <w:pPr>
        <w:pStyle w:val="9"/>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第三部分</w:t>
      </w:r>
    </w:p>
    <w:p>
      <w:pPr>
        <w:pStyle w:val="9"/>
        <w:jc w:val="center"/>
        <w:rPr>
          <w:sz w:val="70"/>
          <w:szCs w:val="70"/>
        </w:rPr>
      </w:pPr>
    </w:p>
    <w:p>
      <w:pPr>
        <w:pStyle w:val="9"/>
        <w:jc w:val="center"/>
        <w:rPr>
          <w:sz w:val="70"/>
          <w:szCs w:val="70"/>
        </w:rPr>
      </w:pPr>
      <w:r>
        <w:rPr>
          <w:sz w:val="70"/>
          <w:szCs w:val="70"/>
        </w:rPr>
        <w:t>20</w:t>
      </w:r>
      <w:r>
        <w:rPr>
          <w:rFonts w:hint="eastAsia"/>
          <w:sz w:val="70"/>
          <w:szCs w:val="70"/>
        </w:rPr>
        <w:t>20年度单位决算情况说明</w:t>
      </w:r>
    </w:p>
    <w:p>
      <w:pPr>
        <w:widowControl/>
        <w:jc w:val="left"/>
        <w:rPr>
          <w:rFonts w:ascii="黑体" w:eastAsia="黑体" w:cs="黑体"/>
          <w:color w:val="000000"/>
          <w:kern w:val="0"/>
          <w:sz w:val="70"/>
          <w:szCs w:val="70"/>
        </w:rPr>
      </w:pPr>
      <w:r>
        <w:rPr>
          <w:sz w:val="70"/>
          <w:szCs w:val="70"/>
        </w:rPr>
        <w:br w:type="page"/>
      </w:r>
    </w:p>
    <w:p>
      <w:pPr>
        <w:pStyle w:val="9"/>
        <w:rPr>
          <w:rFonts w:hAnsi="黑体"/>
          <w:b/>
          <w:sz w:val="32"/>
          <w:szCs w:val="32"/>
        </w:rPr>
      </w:pPr>
      <w:r>
        <w:rPr>
          <w:rFonts w:hint="eastAsia" w:hAnsi="黑体"/>
          <w:b/>
          <w:sz w:val="32"/>
          <w:szCs w:val="32"/>
        </w:rPr>
        <w:t>一、收入支出决算总体情况说明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2020年度收、支总计3089.75万元。与上年相比，减少379.7万元，减少10.94%，主要是因为基本建设项目按年度投资计划减少。</w:t>
      </w:r>
    </w:p>
    <w:p>
      <w:pPr>
        <w:pStyle w:val="9"/>
        <w:rPr>
          <w:rFonts w:hAnsi="黑体"/>
          <w:b/>
          <w:sz w:val="32"/>
          <w:szCs w:val="32"/>
        </w:rPr>
      </w:pPr>
      <w:r>
        <w:rPr>
          <w:rFonts w:hint="eastAsia" w:hAnsi="黑体"/>
          <w:b/>
          <w:sz w:val="32"/>
          <w:szCs w:val="32"/>
        </w:rPr>
        <w:t>二、收入决算情况说明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本年收入合计1787.07万元，其中：财政拨款收入1787.07万元，占100%；上级补助收入0万元，占0%；事业收入0万元，占0%；经营收入0万元，占0%；附属单位上缴收入0万元，占0%；其他收入0万元，占0%。</w:t>
      </w:r>
    </w:p>
    <w:p>
      <w:pPr>
        <w:pStyle w:val="9"/>
        <w:rPr>
          <w:rFonts w:hAnsi="黑体"/>
          <w:b/>
          <w:sz w:val="32"/>
          <w:szCs w:val="32"/>
        </w:rPr>
      </w:pPr>
      <w:r>
        <w:rPr>
          <w:rFonts w:hint="eastAsia" w:hAnsi="黑体"/>
          <w:b/>
          <w:sz w:val="32"/>
          <w:szCs w:val="32"/>
        </w:rPr>
        <w:t>三、支出决算情况说明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本年支出合计2884.61万元，其中：基本支出1098.78万元，占38.09%；项目支出1785.83万元，占61.91%；上缴上级支出0万元，占0%；经营支出0万元，占0%；对附属单位补助支出0万元，占0%。</w:t>
      </w:r>
    </w:p>
    <w:p>
      <w:pPr>
        <w:pStyle w:val="9"/>
        <w:rPr>
          <w:rFonts w:hAnsi="黑体"/>
          <w:b/>
          <w:sz w:val="32"/>
          <w:szCs w:val="32"/>
        </w:rPr>
      </w:pPr>
      <w:r>
        <w:rPr>
          <w:rFonts w:hint="eastAsia" w:hAnsi="黑体"/>
          <w:b/>
          <w:sz w:val="32"/>
          <w:szCs w:val="32"/>
        </w:rPr>
        <w:t>四、财政拨款收入支出决算总体情况说明</w:t>
      </w:r>
    </w:p>
    <w:p>
      <w:pPr>
        <w:pStyle w:val="9"/>
        <w:rPr>
          <w:rFonts w:asciiTheme="minorEastAsia" w:hAnsiTheme="minorEastAsia" w:eastAsiaTheme="minorEastAsia"/>
          <w:sz w:val="32"/>
          <w:szCs w:val="32"/>
        </w:rPr>
      </w:pPr>
      <w:r>
        <w:rPr>
          <w:rFonts w:hint="eastAsia" w:asciiTheme="minorEastAsia" w:hAnsiTheme="minorEastAsia" w:eastAsiaTheme="minorEastAsia"/>
          <w:sz w:val="32"/>
          <w:szCs w:val="32"/>
        </w:rPr>
        <w:t xml:space="preserve">    2020年度财政拨款收、支总计3089.75万元，与上年相比，减少337.78万元,减少9.73%，主要是因为2019年度的基本建设资金金额较大，2020年基建项目已竣工，收、支总计中只包含了基本建设的结转资金。</w:t>
      </w:r>
    </w:p>
    <w:p>
      <w:pPr>
        <w:pStyle w:val="9"/>
        <w:rPr>
          <w:rFonts w:hAnsi="黑体"/>
          <w:b/>
          <w:sz w:val="32"/>
          <w:szCs w:val="32"/>
        </w:rPr>
      </w:pPr>
      <w:r>
        <w:rPr>
          <w:rFonts w:hint="eastAsia" w:hAnsi="黑体"/>
          <w:b/>
          <w:sz w:val="32"/>
          <w:szCs w:val="32"/>
        </w:rPr>
        <w:t>五、一般公共预算财政拨款支出决算情况说明</w:t>
      </w:r>
    </w:p>
    <w:p>
      <w:pPr>
        <w:pStyle w:val="9"/>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2020年度财政拨款支出2884.61万元，占本年支出合计的100%，与上年相比，财政拨款支出增加724.97万元，增长33.57%，主要是因为2020年新增加了防疫经费、防汛经费和社区戒毒经费。</w:t>
      </w:r>
    </w:p>
    <w:p>
      <w:pPr>
        <w:pStyle w:val="9"/>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2884.61万元，主要用于以下方面：公共安全（类）支出2682.92万元，占93.01%；社会保障和就业（类）支出61.49万元，占2.13%;卫生健康（类）支出63.20万元，占2.19%，住房保障（类）支出77万元，占2.67%。</w:t>
      </w:r>
    </w:p>
    <w:p>
      <w:pPr>
        <w:pStyle w:val="9"/>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2020年度财政拨款支出年初预算数为</w:t>
      </w:r>
      <w:r>
        <w:rPr>
          <w:rFonts w:hint="eastAsia" w:asciiTheme="minorEastAsia" w:hAnsiTheme="minorEastAsia" w:eastAsiaTheme="minorEastAsia"/>
          <w:color w:val="auto"/>
          <w:sz w:val="32"/>
          <w:szCs w:val="32"/>
        </w:rPr>
        <w:t>1421.27</w:t>
      </w:r>
      <w:r>
        <w:rPr>
          <w:rFonts w:hint="eastAsia" w:asciiTheme="minorEastAsia" w:hAnsiTheme="minorEastAsia" w:eastAsiaTheme="minorEastAsia"/>
          <w:sz w:val="32"/>
          <w:szCs w:val="32"/>
        </w:rPr>
        <w:t>万元，支出决算数为2884.61万元，完成年初预算的202.96%，其中：</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公共安全（类）强制隔离戒毒（款）行政运行（项）。年初预算为725.58万元，支出决算为897.09万元，完成年初预算的123.64%，决算数大于年初预算数的主要原因是：追加2019年度绩效考核奖奖金、2020年综治奖及绩效奖。</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2、公共安全（类）强制隔离戒毒（款）一般行政管理事务（项）。年初预算为15万元，支出决算为15万元，完成年初预算的100%。</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3、公共安全（类）强制隔离戒毒（款）所政设施建设（项）。年初预算为0万元，支出决算为150万元，决算数大于年初预算数的主要原因是：年中追加防洪经费，</w:t>
      </w:r>
      <w:r>
        <w:rPr>
          <w:rFonts w:hint="eastAsia" w:cs="宋体" w:asciiTheme="majorEastAsia" w:hAnsiTheme="majorEastAsia" w:eastAsiaTheme="majorEastAsia"/>
          <w:sz w:val="32"/>
          <w:szCs w:val="32"/>
        </w:rPr>
        <w:t>按规定使用了以前年度结转</w:t>
      </w:r>
      <w:r>
        <w:rPr>
          <w:rFonts w:hint="eastAsia" w:asciiTheme="minorEastAsia" w:hAnsiTheme="minorEastAsia" w:eastAsiaTheme="minorEastAsia"/>
          <w:sz w:val="32"/>
          <w:szCs w:val="32"/>
        </w:rPr>
        <w:t>基本建设</w:t>
      </w:r>
      <w:r>
        <w:rPr>
          <w:rFonts w:hint="eastAsia" w:cs="宋体" w:asciiTheme="majorEastAsia" w:hAnsiTheme="majorEastAsia" w:eastAsiaTheme="majorEastAsia"/>
          <w:sz w:val="32"/>
          <w:szCs w:val="32"/>
        </w:rPr>
        <w:t>资金</w:t>
      </w:r>
      <w:r>
        <w:rPr>
          <w:rFonts w:hint="eastAsia" w:asciiTheme="minorEastAsia" w:hAnsiTheme="minorEastAsia" w:eastAsiaTheme="minorEastAsia"/>
          <w:sz w:val="32"/>
          <w:szCs w:val="32"/>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4、公共安全（类）强制隔离戒毒（款）信息化建设（项）。年初预算为0万元，支出决算为8.6万元，决算数大于年初预算数的主要原因是：追加的安可替代工程经费。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5、公共安全（类）其他公共安全（款）其他公共安全（项）。年初预算为0万元，支出决算为962.23万元，决算数大于年初预算数的主要原因是：</w:t>
      </w:r>
      <w:r>
        <w:rPr>
          <w:rFonts w:hint="eastAsia" w:cs="宋体" w:asciiTheme="majorEastAsia" w:hAnsiTheme="majorEastAsia" w:eastAsiaTheme="majorEastAsia"/>
          <w:sz w:val="32"/>
          <w:szCs w:val="32"/>
        </w:rPr>
        <w:t>按规定使用了以前年度结转</w:t>
      </w:r>
      <w:r>
        <w:rPr>
          <w:rFonts w:hint="eastAsia" w:asciiTheme="minorEastAsia" w:hAnsiTheme="minorEastAsia" w:eastAsiaTheme="minorEastAsia"/>
          <w:sz w:val="32"/>
          <w:szCs w:val="32"/>
        </w:rPr>
        <w:t>基本建设</w:t>
      </w:r>
      <w:r>
        <w:rPr>
          <w:rFonts w:hint="eastAsia" w:cs="宋体" w:asciiTheme="majorEastAsia" w:hAnsiTheme="majorEastAsia" w:eastAsiaTheme="majorEastAsia"/>
          <w:sz w:val="32"/>
          <w:szCs w:val="32"/>
        </w:rPr>
        <w:t>资金</w:t>
      </w:r>
      <w:r>
        <w:rPr>
          <w:rFonts w:hint="eastAsia" w:asciiTheme="minorEastAsia" w:hAnsiTheme="minorEastAsia" w:eastAsiaTheme="minorEastAsia"/>
          <w:sz w:val="32"/>
          <w:szCs w:val="32"/>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6、社会保障和就业（类）行政事业单位养老（款）机关事业单位基本养老保险缴费（项）。年初预算为61.49万元，支出决算为61.49万元，完成年初预算的100%。</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7、卫生健康（类）行政事业单位医疗（款）行政单位医疗（项）。年初预算为34万元，支出决算为34万元，完成年初预算的100%。</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8、卫生健康（类）行政事业单位医疗（款）公务员医疗补助（项）。年初预算为22万元，支出决算为22万元，完成年初预算的100%。</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9、卫生健康（类）行政事业单位医疗（款）其他行政事业单位医疗（项）。年初预算为7.2万元，支出决算为7.2万元，完成年初预算的100%。</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10、住房保障（类）住房改革（款）住房公积金（项）。年初预算为77万元，支出决算为77万元，完成年初预算的100%。</w:t>
      </w:r>
    </w:p>
    <w:p>
      <w:pPr>
        <w:pStyle w:val="9"/>
        <w:rPr>
          <w:rFonts w:hAnsi="黑体"/>
          <w:b/>
          <w:sz w:val="32"/>
          <w:szCs w:val="32"/>
        </w:rPr>
      </w:pPr>
      <w:r>
        <w:rPr>
          <w:rFonts w:hint="eastAsia" w:hAnsi="黑体"/>
          <w:b/>
          <w:sz w:val="32"/>
          <w:szCs w:val="32"/>
        </w:rPr>
        <w:t>六、一般公共预算财政拨款基本支出决算情况说明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基本支出1098.78万元，其中：人员经费976.45万元，占基本支出的88.87%,主要包括基本工资、津贴补贴、奖金、伙食补助费、机关事业单位基本养老保险缴费、离休费、退休费、抚恤金、生活补助、医疗费、住房公积金、购房补贴、其他对个人和家庭的补助支出；公用经费122.33万元，占基本支出的11.13%，主要包括办公费、印刷费、咨询费、手续费、水费、电费、邮电费、取暖费、物业管理费、差旅费、维修（护）费、租赁费、会议费、培训费、公务接待费、被装购置费、劳务费、工会经费、福利费、公务用车运行维护费、其他交通费用、其他商品和服务支出。</w:t>
      </w:r>
    </w:p>
    <w:p>
      <w:pPr>
        <w:pStyle w:val="9"/>
        <w:rPr>
          <w:rFonts w:hAnsi="黑体"/>
          <w:b/>
          <w:sz w:val="32"/>
          <w:szCs w:val="32"/>
        </w:rPr>
      </w:pPr>
      <w:r>
        <w:rPr>
          <w:rFonts w:hint="eastAsia" w:hAnsi="黑体"/>
          <w:b/>
          <w:sz w:val="32"/>
          <w:szCs w:val="32"/>
        </w:rPr>
        <w:t>七、一般公共预算财政拨款三公经费支出决算情况说明</w:t>
      </w:r>
    </w:p>
    <w:p>
      <w:pPr>
        <w:pStyle w:val="9"/>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“三公”经费财政拨款支出预算为34万元，支出决算为34万元，完成预算的100%，其中：</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因公出国（境）费支出预算为0万元，支出决算为0万元，与上年相比减少0万元，减少0%。</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公务接待费支出预算为8万元，支出决算为8万元，完成预算的100%。与上年相比减少0万元，减少0%。</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公务用车购置费及运行维护费支出预算为26万元，支出决算为26万元，完成预算的100%，与上年相比增加10.7万元，增加69.93%,增加的主要原因是：新购置警车一台15万元。</w:t>
      </w:r>
    </w:p>
    <w:p>
      <w:pPr>
        <w:pStyle w:val="9"/>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2020年度“三公”经费财政拨款支出决算中，公务接待费支出决算8万元，占23.53%,因公出国（境）费支出决算0万元，公务用车购置费及运行维护费支出决算26万元，占76.47%。其中：</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1、因公出国（境）费支出决算为0万元，全年安排因公出国（境）团组0个，累计0人次。</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2、公务接待费支出决算为8万元，全年共接待来访团组90个、来宾580人次，主要是戒毒局机关及所属单位为执行公务、开展业务、相关单位交流工作情况及接受相关单位检查指导工作发生的接待支出。</w:t>
      </w:r>
    </w:p>
    <w:p>
      <w:pPr>
        <w:ind w:firstLine="800" w:firstLineChars="250"/>
        <w:rPr>
          <w:rFonts w:cs="黑体" w:asciiTheme="minorEastAsia" w:hAnsiTheme="minorEastAsia"/>
          <w:color w:val="000000"/>
          <w:kern w:val="0"/>
          <w:sz w:val="32"/>
          <w:szCs w:val="32"/>
        </w:rPr>
      </w:pPr>
      <w:r>
        <w:rPr>
          <w:rFonts w:hint="eastAsia" w:asciiTheme="minorEastAsia" w:hAnsiTheme="minorEastAsia"/>
          <w:sz w:val="32"/>
          <w:szCs w:val="32"/>
        </w:rPr>
        <w:t>3、公务用车购置费及运行维护费支出决算为26万元，其中：公务用车购置费15万元，省白泥湖戒毒康复所更新公务用车1辆</w:t>
      </w:r>
      <w:r>
        <w:rPr>
          <w:rFonts w:hint="eastAsia" w:asciiTheme="minorEastAsia" w:hAnsiTheme="minorEastAsia"/>
          <w:color w:val="000000" w:themeColor="text1"/>
          <w:sz w:val="32"/>
          <w:szCs w:val="32"/>
        </w:rPr>
        <w:t>。</w:t>
      </w:r>
      <w:r>
        <w:rPr>
          <w:rFonts w:hint="eastAsia" w:asciiTheme="minorEastAsia" w:hAnsiTheme="minorEastAsia"/>
          <w:sz w:val="32"/>
          <w:szCs w:val="32"/>
        </w:rPr>
        <w:t>公务用车运行维护费11万元，主要是按规定保留的公务用车的燃料费、维修费、过桥过路费、保险费、安全奖励费用等支出，截止2020年12月31日，我单位开支财政拨款的公务用车保有量为3辆。</w:t>
      </w:r>
    </w:p>
    <w:p>
      <w:pPr>
        <w:pStyle w:val="9"/>
        <w:rPr>
          <w:rFonts w:hAnsi="黑体"/>
          <w:b/>
          <w:sz w:val="32"/>
          <w:szCs w:val="32"/>
        </w:rPr>
      </w:pPr>
      <w:r>
        <w:rPr>
          <w:rFonts w:hint="eastAsia" w:hAnsi="黑体"/>
          <w:b/>
          <w:sz w:val="32"/>
          <w:szCs w:val="32"/>
        </w:rPr>
        <w:t>八、政府性基金预算收入支出决算情况</w:t>
      </w:r>
    </w:p>
    <w:p>
      <w:pPr>
        <w:pStyle w:val="9"/>
        <w:rPr>
          <w:rFonts w:asciiTheme="minorEastAsia" w:hAnsiTheme="minorEastAsia" w:eastAsiaTheme="minorEastAsia"/>
          <w:sz w:val="32"/>
          <w:szCs w:val="32"/>
        </w:rPr>
      </w:pPr>
      <w:r>
        <w:rPr>
          <w:rFonts w:hint="eastAsia" w:asciiTheme="minorEastAsia" w:hAnsiTheme="minorEastAsia" w:eastAsiaTheme="minorEastAsia"/>
          <w:sz w:val="32"/>
          <w:szCs w:val="32"/>
        </w:rPr>
        <w:t xml:space="preserve">    湖南省白泥湖戒毒康复所2020年度无政府性基金预算安排和支出。</w:t>
      </w:r>
    </w:p>
    <w:p>
      <w:pPr>
        <w:pStyle w:val="9"/>
        <w:rPr>
          <w:rFonts w:hAnsi="黑体"/>
          <w:b/>
          <w:sz w:val="32"/>
          <w:szCs w:val="32"/>
        </w:rPr>
      </w:pPr>
      <w:r>
        <w:rPr>
          <w:rFonts w:hint="eastAsia" w:hAnsi="黑体"/>
          <w:b/>
          <w:sz w:val="32"/>
          <w:szCs w:val="32"/>
        </w:rPr>
        <w:t>九、关于机关运行经费支出说明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本单位2020年度机关运行经费支出122.33万元，</w:t>
      </w:r>
      <w:r>
        <w:rPr>
          <w:rFonts w:hint="eastAsia" w:asciiTheme="minorEastAsia" w:hAnsiTheme="minorEastAsia" w:eastAsiaTheme="minorEastAsia"/>
          <w:color w:val="auto"/>
          <w:sz w:val="32"/>
          <w:szCs w:val="32"/>
        </w:rPr>
        <w:t>与年初预算一致。</w:t>
      </w:r>
    </w:p>
    <w:p>
      <w:pPr>
        <w:pStyle w:val="9"/>
        <w:rPr>
          <w:rFonts w:hAnsi="黑体"/>
          <w:b/>
          <w:sz w:val="32"/>
          <w:szCs w:val="32"/>
        </w:rPr>
      </w:pPr>
      <w:r>
        <w:rPr>
          <w:rFonts w:hint="eastAsia" w:hAnsi="黑体"/>
          <w:b/>
          <w:sz w:val="32"/>
          <w:szCs w:val="32"/>
        </w:rPr>
        <w:t>十、一般性支出情况</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本单位开支会议费0.1万元，用于2人参加心理咨询师年会会议，内容为心理咨询师业务交流；开支培训费6.34万元，用于开展各层级警衔晋升培训，人数13人，内容为省直戒毒系统警衔晋升培训和新警入职培训（40天）；开展业务能力培训1人，内容为医师转岗培训；开展能力素质培训5人，内容为戒毒业务知识培训授课费。</w:t>
      </w:r>
    </w:p>
    <w:p>
      <w:pPr>
        <w:pStyle w:val="9"/>
        <w:rPr>
          <w:rFonts w:hAnsi="黑体"/>
          <w:b/>
          <w:sz w:val="32"/>
          <w:szCs w:val="32"/>
        </w:rPr>
      </w:pPr>
      <w:r>
        <w:rPr>
          <w:rFonts w:hint="eastAsia" w:hAnsi="黑体"/>
          <w:b/>
          <w:sz w:val="32"/>
          <w:szCs w:val="32"/>
        </w:rPr>
        <w:t>十一、关于政府采购支出说明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本单位2020年度政府采购支出总额15万元，其中：政府采购货物支出15 万元</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政府采购工程支出</w:t>
      </w:r>
      <w:r>
        <w:rPr>
          <w:rFonts w:hint="eastAsia" w:asciiTheme="minorEastAsia" w:hAnsiTheme="minorEastAsia"/>
          <w:sz w:val="32"/>
          <w:szCs w:val="32"/>
          <w:lang w:val="en-US" w:eastAsia="zh-CN"/>
        </w:rPr>
        <w:t>0</w:t>
      </w:r>
      <w:r>
        <w:rPr>
          <w:rFonts w:hint="eastAsia" w:asciiTheme="minorEastAsia" w:hAnsiTheme="minorEastAsia" w:eastAsiaTheme="minorEastAsia"/>
          <w:sz w:val="32"/>
          <w:szCs w:val="32"/>
        </w:rPr>
        <w:t>万元、政府采购服务支出0万元。授予中小企业合同金额15万元，占政府采购支出总额的100%，其中：授予小微企业合同金额15万元，占政府采购支出总额的100%。</w:t>
      </w:r>
      <w:bookmarkStart w:id="0" w:name="_GoBack"/>
      <w:bookmarkEnd w:id="0"/>
    </w:p>
    <w:p>
      <w:pPr>
        <w:pStyle w:val="9"/>
        <w:rPr>
          <w:rFonts w:hAnsi="黑体"/>
          <w:b/>
          <w:sz w:val="32"/>
          <w:szCs w:val="32"/>
        </w:rPr>
      </w:pPr>
      <w:r>
        <w:rPr>
          <w:rFonts w:hint="eastAsia" w:hAnsi="黑体"/>
          <w:b/>
          <w:sz w:val="32"/>
          <w:szCs w:val="32"/>
        </w:rPr>
        <w:t>十二、关于国有资产占用情况说明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截至2020年12月31日，本单位共有车辆3辆，其中，主要领导干部用车0辆，机要通信用车0辆、应急保障用车0辆、执法执勤用车2辆、特种专业技术用车1辆、其他用车0辆，单位价值50万元以上通用设备0台（套）；单位价值100万元以上专用设备0台（套）。</w:t>
      </w:r>
    </w:p>
    <w:p>
      <w:pPr>
        <w:pStyle w:val="9"/>
        <w:rPr>
          <w:rFonts w:hAnsi="黑体"/>
          <w:b/>
          <w:sz w:val="32"/>
          <w:szCs w:val="32"/>
        </w:rPr>
      </w:pPr>
      <w:r>
        <w:rPr>
          <w:rFonts w:hint="eastAsia" w:hAnsi="黑体"/>
          <w:b/>
          <w:sz w:val="32"/>
          <w:szCs w:val="32"/>
        </w:rPr>
        <w:t>十三、关于2020年度预算绩效情况的说明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（一）预算绩效管理工作开展情况</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根据预算绩效管理要求，我所组织对2020年度一般公共预算整体支出开展绩效自评。</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从评价情况来看，完成情况较好，主要表现为以下几个方面，一是项目立项程序完整、规范，设立符合相关政策文件要求及项目单位职责；二是项目设置了明确的绩效目标，并设置了相应的绩效指标；三是财务相关管理制度较健全，预算执行及时、有效；四是绩效目标得到较好的实现。</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（二）预算绩效管理绩效目标</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坚持以习近平新时代中国特色社会主义思想为指导，全面贯彻落实中央和省委政法工作会议、全国司法厅（局）长会议、省司法行政工作会议和全省司法行政戒毒工作会议精神，以党的政治建设为统领，以高质量发展为主题，以深化教育戒治供给侧改革为主线，坚持“稳、严、高”的标准和要求，奋力谱写戒毒康复工作新篇章。</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（三）预算绩效管理绩效评价报告</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2020年是湖南省白泥湖戒毒康复所实干笃行、高质量发展的一年。一年来，我们在省戒毒管理局的坚强领导下，开拓进取，敢为有为，戒毒场所各项工作取得了良好成效，为平安湖南建设做出了应有的贡献。</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我所对照湘财绩[2020]4号文件规定的考核指标，从预算配置、预算执行、预算管理、履职效益等方面对2020年单位整体支出绩效开展了评价，自评得分93.4分。</w:t>
      </w:r>
    </w:p>
    <w:p>
      <w:pPr>
        <w:pStyle w:val="9"/>
        <w:rPr>
          <w:rFonts w:hAnsi="黑体"/>
          <w:b/>
          <w:sz w:val="32"/>
          <w:szCs w:val="32"/>
        </w:rPr>
      </w:pPr>
    </w:p>
    <w:p>
      <w:pPr>
        <w:pStyle w:val="9"/>
        <w:jc w:val="center"/>
        <w:rPr>
          <w:sz w:val="72"/>
          <w:szCs w:val="72"/>
        </w:rPr>
      </w:pPr>
    </w:p>
    <w:p>
      <w:pPr>
        <w:pStyle w:val="9"/>
        <w:rPr>
          <w:sz w:val="72"/>
          <w:szCs w:val="72"/>
        </w:rPr>
      </w:pPr>
    </w:p>
    <w:p>
      <w:pPr>
        <w:pStyle w:val="9"/>
        <w:rPr>
          <w:sz w:val="72"/>
          <w:szCs w:val="72"/>
        </w:rPr>
      </w:pPr>
    </w:p>
    <w:p>
      <w:pPr>
        <w:pStyle w:val="9"/>
        <w:rPr>
          <w:sz w:val="72"/>
          <w:szCs w:val="72"/>
        </w:rPr>
      </w:pPr>
    </w:p>
    <w:p>
      <w:pPr>
        <w:pStyle w:val="9"/>
        <w:rPr>
          <w:sz w:val="72"/>
          <w:szCs w:val="72"/>
        </w:rPr>
      </w:pPr>
    </w:p>
    <w:p>
      <w:pPr>
        <w:pStyle w:val="9"/>
        <w:rPr>
          <w:sz w:val="72"/>
          <w:szCs w:val="72"/>
        </w:rPr>
      </w:pPr>
    </w:p>
    <w:p>
      <w:pPr>
        <w:pStyle w:val="9"/>
        <w:rPr>
          <w:sz w:val="72"/>
          <w:szCs w:val="72"/>
        </w:rPr>
      </w:pPr>
    </w:p>
    <w:p>
      <w:pPr>
        <w:pStyle w:val="9"/>
        <w:jc w:val="center"/>
        <w:rPr>
          <w:sz w:val="72"/>
          <w:szCs w:val="72"/>
        </w:rPr>
      </w:pPr>
    </w:p>
    <w:p>
      <w:pPr>
        <w:pStyle w:val="9"/>
        <w:jc w:val="center"/>
        <w:rPr>
          <w:rFonts w:hint="eastAsia"/>
          <w:sz w:val="72"/>
          <w:szCs w:val="72"/>
        </w:rPr>
      </w:pPr>
    </w:p>
    <w:p>
      <w:pPr>
        <w:pStyle w:val="9"/>
        <w:jc w:val="center"/>
        <w:rPr>
          <w:rFonts w:hint="eastAsia"/>
          <w:sz w:val="72"/>
          <w:szCs w:val="72"/>
        </w:rPr>
      </w:pPr>
    </w:p>
    <w:p>
      <w:pPr>
        <w:pStyle w:val="9"/>
        <w:jc w:val="center"/>
        <w:rPr>
          <w:rFonts w:hint="eastAsia"/>
          <w:sz w:val="72"/>
          <w:szCs w:val="72"/>
        </w:rPr>
      </w:pPr>
    </w:p>
    <w:p>
      <w:pPr>
        <w:pStyle w:val="9"/>
        <w:jc w:val="center"/>
        <w:rPr>
          <w:rFonts w:hint="eastAsia"/>
          <w:sz w:val="72"/>
          <w:szCs w:val="72"/>
        </w:rPr>
      </w:pPr>
    </w:p>
    <w:p>
      <w:pPr>
        <w:pStyle w:val="9"/>
        <w:jc w:val="center"/>
        <w:rPr>
          <w:rFonts w:hint="eastAsia"/>
          <w:sz w:val="72"/>
          <w:szCs w:val="72"/>
        </w:rPr>
      </w:pPr>
    </w:p>
    <w:p>
      <w:pPr>
        <w:pStyle w:val="9"/>
        <w:jc w:val="center"/>
        <w:rPr>
          <w:rFonts w:hint="eastAsia"/>
          <w:sz w:val="72"/>
          <w:szCs w:val="72"/>
        </w:rPr>
      </w:pPr>
    </w:p>
    <w:p>
      <w:pPr>
        <w:pStyle w:val="9"/>
        <w:jc w:val="center"/>
        <w:rPr>
          <w:sz w:val="72"/>
          <w:szCs w:val="72"/>
        </w:rPr>
      </w:pPr>
    </w:p>
    <w:p>
      <w:pPr>
        <w:pStyle w:val="9"/>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p>
    <w:p>
      <w:pPr>
        <w:jc w:val="center"/>
        <w:rPr>
          <w:rFonts w:hint="eastAsia" w:ascii="黑体" w:eastAsia="黑体" w:cs="黑体"/>
          <w:color w:val="000000"/>
          <w:kern w:val="0"/>
          <w:sz w:val="70"/>
          <w:szCs w:val="70"/>
        </w:rPr>
      </w:pPr>
    </w:p>
    <w:p>
      <w:pPr>
        <w:jc w:val="center"/>
        <w:rPr>
          <w:rFonts w:hint="eastAsia" w:ascii="黑体" w:eastAsia="黑体" w:cs="黑体"/>
          <w:color w:val="000000"/>
          <w:kern w:val="0"/>
          <w:sz w:val="70"/>
          <w:szCs w:val="70"/>
        </w:rPr>
      </w:pPr>
    </w:p>
    <w:p>
      <w:pPr>
        <w:jc w:val="center"/>
        <w:rPr>
          <w:rFonts w:hint="eastAsia" w:ascii="黑体" w:eastAsia="黑体" w:cs="黑体"/>
          <w:color w:val="000000"/>
          <w:kern w:val="0"/>
          <w:sz w:val="70"/>
          <w:szCs w:val="70"/>
        </w:rPr>
      </w:pPr>
    </w:p>
    <w:p>
      <w:pPr>
        <w:jc w:val="center"/>
        <w:rPr>
          <w:rFonts w:hint="eastAsia" w:ascii="黑体" w:eastAsia="黑体" w:cs="黑体"/>
          <w:color w:val="000000"/>
          <w:kern w:val="0"/>
          <w:sz w:val="70"/>
          <w:szCs w:val="70"/>
        </w:rPr>
      </w:pPr>
    </w:p>
    <w:p>
      <w:pPr>
        <w:jc w:val="center"/>
        <w:rPr>
          <w:rFonts w:hint="eastAsia" w:ascii="黑体" w:eastAsia="黑体" w:cs="黑体"/>
          <w:color w:val="000000"/>
          <w:kern w:val="0"/>
          <w:sz w:val="70"/>
          <w:szCs w:val="70"/>
        </w:rPr>
      </w:pPr>
    </w:p>
    <w:p>
      <w:pPr>
        <w:ind w:firstLine="1400" w:firstLineChars="200"/>
        <w:rPr>
          <w:rFonts w:hint="eastAsia" w:ascii="黑体" w:eastAsia="黑体" w:cs="黑体"/>
          <w:color w:val="000000"/>
          <w:kern w:val="0"/>
          <w:sz w:val="70"/>
          <w:szCs w:val="70"/>
        </w:rPr>
      </w:pPr>
    </w:p>
    <w:p>
      <w:pPr>
        <w:ind w:firstLine="640" w:firstLineChars="200"/>
        <w:rPr>
          <w:rFonts w:asciiTheme="minorEastAsia" w:hAnsiTheme="minorEastAsia"/>
          <w:b/>
          <w:sz w:val="32"/>
          <w:szCs w:val="32"/>
        </w:rPr>
      </w:pPr>
    </w:p>
    <w:p>
      <w:pPr>
        <w:ind w:firstLine="640" w:firstLineChars="200"/>
        <w:rPr>
          <w:rFonts w:asciiTheme="minorEastAsia" w:hAnsiTheme="minorEastAsia"/>
          <w:sz w:val="32"/>
          <w:szCs w:val="32"/>
        </w:rPr>
      </w:pPr>
      <w:r>
        <w:rPr>
          <w:rFonts w:hint="eastAsia" w:asciiTheme="minorEastAsia" w:hAnsiTheme="minorEastAsia"/>
          <w:b/>
          <w:sz w:val="32"/>
          <w:szCs w:val="32"/>
        </w:rPr>
        <w:t>一、财政拨款收入：</w:t>
      </w:r>
      <w:r>
        <w:rPr>
          <w:rFonts w:hint="eastAsia" w:asciiTheme="minorEastAsia" w:hAnsiTheme="minorEastAsia"/>
          <w:sz w:val="32"/>
          <w:szCs w:val="32"/>
        </w:rPr>
        <w:t>指中央、省级财政当年拨付的资金。</w:t>
      </w:r>
    </w:p>
    <w:p>
      <w:pPr>
        <w:ind w:firstLine="640" w:firstLineChars="200"/>
        <w:rPr>
          <w:rFonts w:asciiTheme="minorEastAsia" w:hAnsiTheme="minorEastAsia"/>
          <w:sz w:val="32"/>
          <w:szCs w:val="32"/>
        </w:rPr>
      </w:pPr>
      <w:r>
        <w:rPr>
          <w:rFonts w:hint="eastAsia" w:asciiTheme="minorEastAsia" w:hAnsiTheme="minorEastAsia"/>
          <w:b/>
          <w:sz w:val="32"/>
          <w:szCs w:val="32"/>
        </w:rPr>
        <w:t>二、其他收入：</w:t>
      </w:r>
      <w:r>
        <w:rPr>
          <w:rFonts w:hint="eastAsia" w:asciiTheme="minorEastAsia" w:hAnsiTheme="minorEastAsia"/>
          <w:sz w:val="32"/>
          <w:szCs w:val="32"/>
        </w:rPr>
        <w:t>指除上述“财政拨款收入”、“事业收入”、“经营收入”等以外的收入。</w:t>
      </w:r>
    </w:p>
    <w:p>
      <w:pPr>
        <w:ind w:firstLine="640" w:firstLineChars="200"/>
        <w:rPr>
          <w:rFonts w:asciiTheme="minorEastAsia" w:hAnsiTheme="minorEastAsia"/>
          <w:sz w:val="32"/>
          <w:szCs w:val="32"/>
        </w:rPr>
      </w:pPr>
      <w:r>
        <w:rPr>
          <w:rFonts w:hint="eastAsia" w:asciiTheme="minorEastAsia" w:hAnsiTheme="minorEastAsia"/>
          <w:b/>
          <w:sz w:val="32"/>
          <w:szCs w:val="32"/>
        </w:rPr>
        <w:t>三、年初结转和结余：</w:t>
      </w:r>
      <w:r>
        <w:rPr>
          <w:rFonts w:hint="eastAsia" w:asciiTheme="minorEastAsia" w:hAnsiTheme="minorEastAsia"/>
          <w:sz w:val="32"/>
          <w:szCs w:val="32"/>
        </w:rPr>
        <w:t>指以前年度尚未完成、结转到本年按有关规定继续使用的资金。</w:t>
      </w:r>
    </w:p>
    <w:p>
      <w:pPr>
        <w:ind w:firstLine="640" w:firstLineChars="200"/>
        <w:rPr>
          <w:rFonts w:asciiTheme="minorEastAsia" w:hAnsiTheme="minorEastAsia"/>
          <w:sz w:val="32"/>
          <w:szCs w:val="32"/>
        </w:rPr>
      </w:pPr>
      <w:r>
        <w:rPr>
          <w:rFonts w:hint="eastAsia" w:asciiTheme="minorEastAsia" w:hAnsiTheme="minorEastAsia"/>
          <w:b/>
          <w:sz w:val="32"/>
          <w:szCs w:val="32"/>
        </w:rPr>
        <w:t>四、公共安全支出（类）强制隔离戒毒（款）行政运行（项）：</w:t>
      </w:r>
      <w:r>
        <w:rPr>
          <w:rFonts w:hint="eastAsia" w:asciiTheme="minorEastAsia" w:hAnsiTheme="minorEastAsia"/>
          <w:sz w:val="32"/>
          <w:szCs w:val="32"/>
        </w:rPr>
        <w:t>反映行政单位（包括实行公务员管理的事业单位）的基本支出。</w:t>
      </w:r>
    </w:p>
    <w:p>
      <w:pPr>
        <w:ind w:firstLine="640" w:firstLineChars="200"/>
        <w:rPr>
          <w:rFonts w:asciiTheme="minorEastAsia" w:hAnsiTheme="minorEastAsia"/>
          <w:sz w:val="32"/>
          <w:szCs w:val="32"/>
        </w:rPr>
      </w:pPr>
      <w:r>
        <w:rPr>
          <w:rFonts w:hint="eastAsia" w:asciiTheme="minorEastAsia" w:hAnsiTheme="minorEastAsia"/>
          <w:b/>
          <w:sz w:val="32"/>
          <w:szCs w:val="32"/>
        </w:rPr>
        <w:t>五、公共安全支出（类）强制隔离戒毒（款）一般行政管理事务（项）：</w:t>
      </w:r>
      <w:r>
        <w:rPr>
          <w:rFonts w:hint="eastAsia" w:asciiTheme="minorEastAsia" w:hAnsiTheme="minorEastAsia"/>
          <w:sz w:val="32"/>
          <w:szCs w:val="32"/>
        </w:rPr>
        <w:t>反映行政单位（包括实行公务员管理的事业单位）未单独设置项级科目的其他项目支出。</w:t>
      </w:r>
    </w:p>
    <w:p>
      <w:pPr>
        <w:ind w:firstLine="640" w:firstLineChars="200"/>
        <w:rPr>
          <w:rFonts w:asciiTheme="minorEastAsia" w:hAnsiTheme="minorEastAsia"/>
          <w:sz w:val="32"/>
          <w:szCs w:val="32"/>
        </w:rPr>
      </w:pPr>
      <w:r>
        <w:rPr>
          <w:rFonts w:hint="eastAsia" w:asciiTheme="minorEastAsia" w:hAnsiTheme="minorEastAsia"/>
          <w:b/>
          <w:sz w:val="32"/>
          <w:szCs w:val="32"/>
        </w:rPr>
        <w:t>六、公共安全支出（类）强制隔离戒毒（款）所政设施建设（项）：</w:t>
      </w:r>
      <w:r>
        <w:rPr>
          <w:rFonts w:hint="eastAsia" w:asciiTheme="minorEastAsia" w:hAnsiTheme="minorEastAsia"/>
          <w:sz w:val="32"/>
          <w:szCs w:val="32"/>
        </w:rPr>
        <w:t>反映强制隔离戒毒管理单位及强制隔离戒毒所所政设施建设及维修、技术装备购置等方面的支出。</w:t>
      </w:r>
    </w:p>
    <w:p>
      <w:pPr>
        <w:ind w:firstLine="640" w:firstLineChars="200"/>
        <w:rPr>
          <w:rFonts w:asciiTheme="minorEastAsia" w:hAnsiTheme="minorEastAsia"/>
          <w:sz w:val="32"/>
          <w:szCs w:val="32"/>
        </w:rPr>
      </w:pPr>
      <w:r>
        <w:rPr>
          <w:rFonts w:hint="eastAsia" w:asciiTheme="minorEastAsia" w:hAnsiTheme="minorEastAsia"/>
          <w:b/>
          <w:sz w:val="32"/>
          <w:szCs w:val="32"/>
        </w:rPr>
        <w:t>七、公共安全支出（类）强制隔离戒毒（款）信息化建设（项）：</w:t>
      </w:r>
      <w:r>
        <w:rPr>
          <w:rFonts w:hint="eastAsia" w:asciiTheme="minorEastAsia" w:hAnsiTheme="minorEastAsia"/>
          <w:sz w:val="32"/>
          <w:szCs w:val="32"/>
        </w:rPr>
        <w:t>反映信息化建设及运行维护等方面的支出。</w:t>
      </w:r>
    </w:p>
    <w:p>
      <w:pPr>
        <w:ind w:firstLine="640" w:firstLineChars="200"/>
        <w:rPr>
          <w:rFonts w:asciiTheme="minorEastAsia" w:hAnsiTheme="minorEastAsia"/>
          <w:sz w:val="32"/>
          <w:szCs w:val="32"/>
        </w:rPr>
      </w:pPr>
      <w:r>
        <w:rPr>
          <w:rFonts w:hint="eastAsia" w:asciiTheme="minorEastAsia" w:hAnsiTheme="minorEastAsia"/>
          <w:b/>
          <w:sz w:val="32"/>
          <w:szCs w:val="32"/>
        </w:rPr>
        <w:t>八、社会保障和就业支出（类）行政事业单位养老支出（款）机关事业单位基本养老保险缴费支出（项）：</w:t>
      </w:r>
      <w:r>
        <w:rPr>
          <w:rFonts w:hint="eastAsia" w:asciiTheme="minorEastAsia" w:hAnsiTheme="minorEastAsia"/>
          <w:sz w:val="32"/>
          <w:szCs w:val="32"/>
        </w:rPr>
        <w:t>反映机关事业单位实施养老保险制度由单位缴纳的基本养老保险费支出。</w:t>
      </w:r>
    </w:p>
    <w:p>
      <w:pPr>
        <w:ind w:firstLine="640" w:firstLineChars="200"/>
        <w:rPr>
          <w:rFonts w:asciiTheme="minorEastAsia" w:hAnsiTheme="minorEastAsia"/>
          <w:sz w:val="32"/>
          <w:szCs w:val="32"/>
        </w:rPr>
      </w:pPr>
      <w:r>
        <w:rPr>
          <w:rFonts w:hint="eastAsia" w:asciiTheme="minorEastAsia" w:hAnsiTheme="minorEastAsia"/>
          <w:b/>
          <w:sz w:val="32"/>
          <w:szCs w:val="32"/>
        </w:rPr>
        <w:t>九、卫生健康支出（类）行政事业单位医疗（款）行政单位医疗（项）：</w:t>
      </w:r>
      <w:r>
        <w:rPr>
          <w:rFonts w:hint="eastAsia" w:asciiTheme="minorEastAsia" w:hAnsiTheme="minorEastAsia"/>
          <w:sz w:val="32"/>
          <w:szCs w:val="32"/>
        </w:rPr>
        <w:t>反映财政单位集中安排的行政单位基本医疗保险缴费经费。</w:t>
      </w:r>
    </w:p>
    <w:p>
      <w:pPr>
        <w:ind w:firstLine="640" w:firstLineChars="200"/>
        <w:rPr>
          <w:rFonts w:asciiTheme="minorEastAsia" w:hAnsiTheme="minorEastAsia"/>
          <w:sz w:val="32"/>
          <w:szCs w:val="32"/>
        </w:rPr>
      </w:pPr>
      <w:r>
        <w:rPr>
          <w:rFonts w:hint="eastAsia" w:asciiTheme="minorEastAsia" w:hAnsiTheme="minorEastAsia"/>
          <w:b/>
          <w:sz w:val="32"/>
          <w:szCs w:val="32"/>
        </w:rPr>
        <w:t>十、卫生健康支出（类）医疗保障（款）公务员医疗补助（项）：</w:t>
      </w:r>
      <w:r>
        <w:rPr>
          <w:rFonts w:hint="eastAsia" w:asciiTheme="minorEastAsia" w:hAnsiTheme="minorEastAsia"/>
          <w:sz w:val="32"/>
          <w:szCs w:val="32"/>
        </w:rPr>
        <w:t>反映财政单位集中安排的行政单位公务员医疗补助经费。</w:t>
      </w:r>
    </w:p>
    <w:p>
      <w:pPr>
        <w:ind w:firstLine="640" w:firstLineChars="200"/>
        <w:rPr>
          <w:rFonts w:asciiTheme="minorEastAsia" w:hAnsiTheme="minorEastAsia"/>
          <w:sz w:val="32"/>
          <w:szCs w:val="32"/>
        </w:rPr>
      </w:pPr>
      <w:r>
        <w:rPr>
          <w:rFonts w:hint="eastAsia" w:asciiTheme="minorEastAsia" w:hAnsiTheme="minorEastAsia"/>
          <w:b/>
          <w:sz w:val="32"/>
          <w:szCs w:val="32"/>
        </w:rPr>
        <w:t>十一、卫生健康支出（类）医疗保障（款）其他医疗保障支出（项）：</w:t>
      </w:r>
      <w:r>
        <w:rPr>
          <w:rFonts w:hint="eastAsia" w:asciiTheme="minorEastAsia" w:hAnsiTheme="minorEastAsia"/>
          <w:sz w:val="32"/>
          <w:szCs w:val="32"/>
        </w:rPr>
        <w:t>其他用于医疗保障方面的支出。</w:t>
      </w:r>
    </w:p>
    <w:p>
      <w:pPr>
        <w:ind w:firstLine="640" w:firstLineChars="200"/>
        <w:rPr>
          <w:rFonts w:asciiTheme="minorEastAsia" w:hAnsiTheme="minorEastAsia"/>
          <w:sz w:val="32"/>
          <w:szCs w:val="32"/>
        </w:rPr>
      </w:pPr>
      <w:r>
        <w:rPr>
          <w:rFonts w:hint="eastAsia" w:asciiTheme="minorEastAsia" w:hAnsiTheme="minorEastAsia"/>
          <w:b/>
          <w:sz w:val="32"/>
          <w:szCs w:val="32"/>
        </w:rPr>
        <w:t>十二、住房保障支出（类）住房改革支出（款）住房公积金（项）：</w:t>
      </w:r>
      <w:r>
        <w:rPr>
          <w:rFonts w:hint="eastAsia" w:asciiTheme="minorEastAsia" w:hAnsiTheme="minorEastAsia"/>
          <w:sz w:val="32"/>
          <w:szCs w:val="32"/>
        </w:rPr>
        <w:t>指按照《住房公积金管理条例》的规定，由单位及其在职职工缴存的长期住房储金。该项政策始于上世纪九十年代中期，在全国机关、企事业单位在职职工中普遍实施，缴存比例最低不低于5%，最高不超过12%，缴存基数为职工本人上年工资，目前已实施约20年时间。行政单位缴存基数包括国家统一规定的公务员职务工资、级别工资、机关工人岗位工资和技术等级（职务）工资、年终一次性奖金、特殊岗位津贴、艰苦边远地区津贴，规范后发放的工作性津贴、生活性补贴等；事业单位缴存基数包括国家统一规定的岗位工资、薪级工资、绩效工资、艰苦边远地区津贴、特殊岗位津贴等。</w:t>
      </w:r>
    </w:p>
    <w:p>
      <w:pPr>
        <w:ind w:firstLine="640" w:firstLineChars="200"/>
        <w:rPr>
          <w:rFonts w:asciiTheme="minorEastAsia" w:hAnsiTheme="minorEastAsia"/>
          <w:sz w:val="32"/>
          <w:szCs w:val="32"/>
        </w:rPr>
      </w:pPr>
      <w:r>
        <w:rPr>
          <w:rFonts w:hint="eastAsia" w:asciiTheme="minorEastAsia" w:hAnsiTheme="minorEastAsia"/>
          <w:b/>
          <w:sz w:val="32"/>
          <w:szCs w:val="32"/>
        </w:rPr>
        <w:t>十三、年末结转和结余：</w:t>
      </w:r>
      <w:r>
        <w:rPr>
          <w:rFonts w:hint="eastAsia" w:asciiTheme="minorEastAsia" w:hAnsiTheme="minorEastAsia"/>
          <w:sz w:val="32"/>
          <w:szCs w:val="32"/>
        </w:rPr>
        <w:t>指本年度或以前年度预算安排、因客观条件发生变化无法按原计划实施，需延迟到以后年度按有关规定继续使用的资金。</w:t>
      </w:r>
    </w:p>
    <w:p>
      <w:pPr>
        <w:ind w:firstLine="640" w:firstLineChars="200"/>
        <w:rPr>
          <w:rFonts w:asciiTheme="minorEastAsia" w:hAnsiTheme="minorEastAsia"/>
          <w:sz w:val="32"/>
          <w:szCs w:val="32"/>
        </w:rPr>
      </w:pPr>
      <w:r>
        <w:rPr>
          <w:rFonts w:hint="eastAsia" w:asciiTheme="minorEastAsia" w:hAnsiTheme="minorEastAsia"/>
          <w:b/>
          <w:sz w:val="32"/>
          <w:szCs w:val="32"/>
        </w:rPr>
        <w:t>十四、基本支出：</w:t>
      </w:r>
      <w:r>
        <w:rPr>
          <w:rFonts w:hint="eastAsia" w:asciiTheme="minorEastAsia" w:hAnsiTheme="minorEastAsia"/>
          <w:sz w:val="32"/>
          <w:szCs w:val="32"/>
        </w:rPr>
        <w:t>指为保障机构正常运转、完成日常工作任务而发生的人员支出和公用支出。</w:t>
      </w:r>
    </w:p>
    <w:p>
      <w:pPr>
        <w:ind w:firstLine="640" w:firstLineChars="200"/>
        <w:rPr>
          <w:rFonts w:asciiTheme="minorEastAsia" w:hAnsiTheme="minorEastAsia"/>
          <w:sz w:val="32"/>
          <w:szCs w:val="32"/>
        </w:rPr>
      </w:pPr>
      <w:r>
        <w:rPr>
          <w:rFonts w:hint="eastAsia" w:asciiTheme="minorEastAsia" w:hAnsiTheme="minorEastAsia"/>
          <w:b/>
          <w:sz w:val="32"/>
          <w:szCs w:val="32"/>
        </w:rPr>
        <w:t>十五、项目支出：</w:t>
      </w:r>
      <w:r>
        <w:rPr>
          <w:rFonts w:hint="eastAsia" w:asciiTheme="minorEastAsia" w:hAnsiTheme="minorEastAsia"/>
          <w:sz w:val="32"/>
          <w:szCs w:val="32"/>
        </w:rPr>
        <w:t>指在基本支出之外为完成特定行政任务和事业发展目标所发生的支出。</w:t>
      </w:r>
    </w:p>
    <w:p>
      <w:pPr>
        <w:ind w:firstLine="640" w:firstLineChars="200"/>
        <w:rPr>
          <w:rFonts w:asciiTheme="minorEastAsia" w:hAnsiTheme="minorEastAsia"/>
          <w:sz w:val="32"/>
          <w:szCs w:val="32"/>
        </w:rPr>
      </w:pPr>
      <w:r>
        <w:rPr>
          <w:rFonts w:hint="eastAsia" w:asciiTheme="minorEastAsia" w:hAnsiTheme="minorEastAsia"/>
          <w:b/>
          <w:sz w:val="32"/>
          <w:szCs w:val="32"/>
        </w:rPr>
        <w:t>十六、“三公”经费：</w:t>
      </w:r>
      <w:r>
        <w:rPr>
          <w:rFonts w:hint="eastAsia" w:asciiTheme="minorEastAsia" w:hAnsiTheme="minorEastAsia"/>
          <w:sz w:val="32"/>
          <w:szCs w:val="32"/>
        </w:rPr>
        <w:t>纳入省级财政预决算管理的“三公”经费，是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firstLineChars="200"/>
        <w:rPr>
          <w:rFonts w:asciiTheme="minorEastAsia" w:hAnsiTheme="minorEastAsia"/>
          <w:sz w:val="32"/>
          <w:szCs w:val="32"/>
        </w:rPr>
      </w:pPr>
      <w:r>
        <w:rPr>
          <w:rFonts w:hint="eastAsia" w:asciiTheme="minorEastAsia" w:hAnsiTheme="minorEastAsia"/>
          <w:b/>
          <w:sz w:val="32"/>
          <w:szCs w:val="32"/>
        </w:rPr>
        <w:t>十七、机关运行经费：</w:t>
      </w:r>
      <w:r>
        <w:rPr>
          <w:rFonts w:hint="eastAsia" w:asciiTheme="minorEastAsia" w:hAnsiTheme="minorEastAsia"/>
          <w:sz w:val="32"/>
          <w:szCs w:val="32"/>
        </w:rPr>
        <w:t>为保障行政单位（含参照公务员法管理的事业</w:t>
      </w:r>
    </w:p>
    <w:p>
      <w:pPr>
        <w:ind w:firstLine="640" w:firstLineChars="200"/>
        <w:rPr>
          <w:rFonts w:asciiTheme="minorEastAsia" w:hAnsiTheme="minorEastAsia"/>
          <w:sz w:val="32"/>
          <w:szCs w:val="32"/>
        </w:rPr>
      </w:pPr>
      <w:r>
        <w:rPr>
          <w:rFonts w:hint="eastAsia" w:asciiTheme="minorEastAsia" w:hAnsiTheme="minorEastAsia"/>
          <w:sz w:val="32"/>
          <w:szCs w:val="32"/>
        </w:rPr>
        <w:t>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rFonts w:hint="eastAsia"/>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ind w:firstLine="2450" w:firstLineChars="350"/>
        <w:jc w:val="left"/>
        <w:rPr>
          <w:rFonts w:hint="eastAsia" w:ascii="黑体" w:eastAsia="黑体" w:cs="黑体"/>
          <w:color w:val="000000"/>
          <w:kern w:val="0"/>
          <w:sz w:val="70"/>
          <w:szCs w:val="70"/>
        </w:rPr>
      </w:pPr>
    </w:p>
    <w:p>
      <w:pPr>
        <w:widowControl/>
        <w:ind w:firstLine="1120" w:firstLineChars="350"/>
        <w:jc w:val="left"/>
        <w:rPr>
          <w:rFonts w:ascii="黑体" w:eastAsia="黑体" w:cs="黑体"/>
          <w:color w:val="000000"/>
          <w:kern w:val="0"/>
          <w:sz w:val="70"/>
          <w:szCs w:val="70"/>
        </w:rPr>
      </w:pPr>
      <w:r>
        <w:rPr>
          <w:rFonts w:hint="eastAsia" w:cs="黑体" w:asciiTheme="minorEastAsia" w:hAnsiTheme="minorEastAsia"/>
          <w:b/>
          <w:color w:val="000000"/>
          <w:kern w:val="0"/>
          <w:sz w:val="32"/>
          <w:szCs w:val="32"/>
        </w:rPr>
        <w:t>2020年度单位整体支出绩效评价报告</w:t>
      </w:r>
    </w:p>
    <w:p>
      <w:pPr>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根据涉密信息管理要求，湖南省白泥湖戒毒康复所2020年度整体支出绩效评价报告依法不予公开。</w:t>
      </w:r>
    </w:p>
    <w:p>
      <w:pPr>
        <w:ind w:firstLine="640" w:firstLineChars="200"/>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4287AD1"/>
    <w:multiLevelType w:val="multilevel"/>
    <w:tmpl w:val="44287AD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I2OTkwZmRmNzM4MzE1MGMxMTQ1MmVmMmI4ZDk0NDYifQ=="/>
  </w:docVars>
  <w:rsids>
    <w:rsidRoot w:val="004506F9"/>
    <w:rsid w:val="0002229B"/>
    <w:rsid w:val="000273BD"/>
    <w:rsid w:val="000415B7"/>
    <w:rsid w:val="00041E3F"/>
    <w:rsid w:val="00055BD2"/>
    <w:rsid w:val="00055DAA"/>
    <w:rsid w:val="00061F7B"/>
    <w:rsid w:val="0006246C"/>
    <w:rsid w:val="000658A3"/>
    <w:rsid w:val="00074155"/>
    <w:rsid w:val="00076E12"/>
    <w:rsid w:val="000A2C8C"/>
    <w:rsid w:val="000A3F69"/>
    <w:rsid w:val="000D63AC"/>
    <w:rsid w:val="00103957"/>
    <w:rsid w:val="00124FAB"/>
    <w:rsid w:val="00141BA2"/>
    <w:rsid w:val="00152C6D"/>
    <w:rsid w:val="00156FD6"/>
    <w:rsid w:val="0016017F"/>
    <w:rsid w:val="00161B93"/>
    <w:rsid w:val="00162D39"/>
    <w:rsid w:val="001678BD"/>
    <w:rsid w:val="00174504"/>
    <w:rsid w:val="001A67DB"/>
    <w:rsid w:val="001C0A8D"/>
    <w:rsid w:val="001C3C29"/>
    <w:rsid w:val="001D51E5"/>
    <w:rsid w:val="001E080D"/>
    <w:rsid w:val="001E53D0"/>
    <w:rsid w:val="001F0C3B"/>
    <w:rsid w:val="00202C82"/>
    <w:rsid w:val="00214427"/>
    <w:rsid w:val="00217F57"/>
    <w:rsid w:val="0022190B"/>
    <w:rsid w:val="00226CB7"/>
    <w:rsid w:val="002411B8"/>
    <w:rsid w:val="00244EAB"/>
    <w:rsid w:val="00264552"/>
    <w:rsid w:val="00264EF9"/>
    <w:rsid w:val="00265724"/>
    <w:rsid w:val="00272345"/>
    <w:rsid w:val="0027426B"/>
    <w:rsid w:val="0028036B"/>
    <w:rsid w:val="002B17BD"/>
    <w:rsid w:val="002C3A35"/>
    <w:rsid w:val="002D6B9C"/>
    <w:rsid w:val="002E0A30"/>
    <w:rsid w:val="002E390B"/>
    <w:rsid w:val="0031046B"/>
    <w:rsid w:val="003130C4"/>
    <w:rsid w:val="003149F0"/>
    <w:rsid w:val="0031569A"/>
    <w:rsid w:val="00316C4B"/>
    <w:rsid w:val="0032192B"/>
    <w:rsid w:val="003239E5"/>
    <w:rsid w:val="003479BD"/>
    <w:rsid w:val="003701F5"/>
    <w:rsid w:val="0037197D"/>
    <w:rsid w:val="00371F8A"/>
    <w:rsid w:val="003768D5"/>
    <w:rsid w:val="003821C7"/>
    <w:rsid w:val="003A6AC2"/>
    <w:rsid w:val="003B4FED"/>
    <w:rsid w:val="003C47E6"/>
    <w:rsid w:val="003C4FC2"/>
    <w:rsid w:val="003C7AF0"/>
    <w:rsid w:val="003D621A"/>
    <w:rsid w:val="00416748"/>
    <w:rsid w:val="00416E61"/>
    <w:rsid w:val="00422474"/>
    <w:rsid w:val="0042790C"/>
    <w:rsid w:val="00436C5E"/>
    <w:rsid w:val="004506F9"/>
    <w:rsid w:val="004717A2"/>
    <w:rsid w:val="00473DF3"/>
    <w:rsid w:val="004774A5"/>
    <w:rsid w:val="0048118A"/>
    <w:rsid w:val="0048175B"/>
    <w:rsid w:val="00487911"/>
    <w:rsid w:val="00491741"/>
    <w:rsid w:val="00493671"/>
    <w:rsid w:val="004A0AB4"/>
    <w:rsid w:val="004C046A"/>
    <w:rsid w:val="004C38EB"/>
    <w:rsid w:val="004E7F9C"/>
    <w:rsid w:val="00500E5F"/>
    <w:rsid w:val="005122EF"/>
    <w:rsid w:val="0051441A"/>
    <w:rsid w:val="005156AE"/>
    <w:rsid w:val="00517C33"/>
    <w:rsid w:val="00523644"/>
    <w:rsid w:val="005267E7"/>
    <w:rsid w:val="00531B9B"/>
    <w:rsid w:val="0054069E"/>
    <w:rsid w:val="005411D8"/>
    <w:rsid w:val="00541E0D"/>
    <w:rsid w:val="00544866"/>
    <w:rsid w:val="00555B3E"/>
    <w:rsid w:val="00561072"/>
    <w:rsid w:val="005627EF"/>
    <w:rsid w:val="00571AF7"/>
    <w:rsid w:val="005767CC"/>
    <w:rsid w:val="00590819"/>
    <w:rsid w:val="00590D9F"/>
    <w:rsid w:val="00595D26"/>
    <w:rsid w:val="005A7241"/>
    <w:rsid w:val="005A74E6"/>
    <w:rsid w:val="005B404E"/>
    <w:rsid w:val="005B5998"/>
    <w:rsid w:val="005D1E0C"/>
    <w:rsid w:val="005D4D55"/>
    <w:rsid w:val="005E2CFB"/>
    <w:rsid w:val="005E7E36"/>
    <w:rsid w:val="005F3D1C"/>
    <w:rsid w:val="005F619B"/>
    <w:rsid w:val="0062378F"/>
    <w:rsid w:val="00641842"/>
    <w:rsid w:val="006418F7"/>
    <w:rsid w:val="00642ABB"/>
    <w:rsid w:val="00651EEC"/>
    <w:rsid w:val="00654D69"/>
    <w:rsid w:val="00657557"/>
    <w:rsid w:val="00686673"/>
    <w:rsid w:val="00687230"/>
    <w:rsid w:val="00691E8C"/>
    <w:rsid w:val="00694A73"/>
    <w:rsid w:val="006A22C4"/>
    <w:rsid w:val="006A351B"/>
    <w:rsid w:val="006B0422"/>
    <w:rsid w:val="006B4AF9"/>
    <w:rsid w:val="006C1B53"/>
    <w:rsid w:val="006D7730"/>
    <w:rsid w:val="006E4704"/>
    <w:rsid w:val="006E5284"/>
    <w:rsid w:val="006F2600"/>
    <w:rsid w:val="006F3EB5"/>
    <w:rsid w:val="006F448D"/>
    <w:rsid w:val="00702E34"/>
    <w:rsid w:val="00704395"/>
    <w:rsid w:val="00717621"/>
    <w:rsid w:val="00720FF1"/>
    <w:rsid w:val="00727A53"/>
    <w:rsid w:val="00786FD9"/>
    <w:rsid w:val="00787B42"/>
    <w:rsid w:val="007B59F9"/>
    <w:rsid w:val="007C3DB5"/>
    <w:rsid w:val="007C4539"/>
    <w:rsid w:val="007D54BE"/>
    <w:rsid w:val="007F3657"/>
    <w:rsid w:val="008055FB"/>
    <w:rsid w:val="00812ED5"/>
    <w:rsid w:val="008277D9"/>
    <w:rsid w:val="0084478C"/>
    <w:rsid w:val="00847C71"/>
    <w:rsid w:val="0086638C"/>
    <w:rsid w:val="00875E77"/>
    <w:rsid w:val="008769F6"/>
    <w:rsid w:val="008934F3"/>
    <w:rsid w:val="008A2154"/>
    <w:rsid w:val="008A3E8D"/>
    <w:rsid w:val="008D6710"/>
    <w:rsid w:val="008E2AF6"/>
    <w:rsid w:val="008F5D1F"/>
    <w:rsid w:val="009237C4"/>
    <w:rsid w:val="0092776B"/>
    <w:rsid w:val="00932B18"/>
    <w:rsid w:val="0093372F"/>
    <w:rsid w:val="00944C48"/>
    <w:rsid w:val="00950252"/>
    <w:rsid w:val="00967F5D"/>
    <w:rsid w:val="00990F3A"/>
    <w:rsid w:val="009A0EFB"/>
    <w:rsid w:val="009A0F95"/>
    <w:rsid w:val="009B3ADF"/>
    <w:rsid w:val="009C3B52"/>
    <w:rsid w:val="009D7677"/>
    <w:rsid w:val="009E6450"/>
    <w:rsid w:val="009E6817"/>
    <w:rsid w:val="009E6E9A"/>
    <w:rsid w:val="009F40C5"/>
    <w:rsid w:val="009F69B2"/>
    <w:rsid w:val="00A01D2B"/>
    <w:rsid w:val="00A10E76"/>
    <w:rsid w:val="00A37A25"/>
    <w:rsid w:val="00A42218"/>
    <w:rsid w:val="00A473DA"/>
    <w:rsid w:val="00A70249"/>
    <w:rsid w:val="00A70B02"/>
    <w:rsid w:val="00A71D9F"/>
    <w:rsid w:val="00A92E9F"/>
    <w:rsid w:val="00AA1E96"/>
    <w:rsid w:val="00AB3B37"/>
    <w:rsid w:val="00AC21B9"/>
    <w:rsid w:val="00B33BEA"/>
    <w:rsid w:val="00B57C9F"/>
    <w:rsid w:val="00B626D7"/>
    <w:rsid w:val="00B63572"/>
    <w:rsid w:val="00B845B3"/>
    <w:rsid w:val="00B85D8B"/>
    <w:rsid w:val="00BA5821"/>
    <w:rsid w:val="00BB409D"/>
    <w:rsid w:val="00BB4A40"/>
    <w:rsid w:val="00BD6C3E"/>
    <w:rsid w:val="00BE3674"/>
    <w:rsid w:val="00C0191E"/>
    <w:rsid w:val="00C04447"/>
    <w:rsid w:val="00C10681"/>
    <w:rsid w:val="00C3049A"/>
    <w:rsid w:val="00C31B1E"/>
    <w:rsid w:val="00C45D05"/>
    <w:rsid w:val="00C51D07"/>
    <w:rsid w:val="00C77645"/>
    <w:rsid w:val="00C93FF9"/>
    <w:rsid w:val="00C96ACF"/>
    <w:rsid w:val="00CB51F6"/>
    <w:rsid w:val="00CD2438"/>
    <w:rsid w:val="00CE04C3"/>
    <w:rsid w:val="00CE76A0"/>
    <w:rsid w:val="00CF4040"/>
    <w:rsid w:val="00D148C6"/>
    <w:rsid w:val="00D17A8A"/>
    <w:rsid w:val="00D2060F"/>
    <w:rsid w:val="00D20EA8"/>
    <w:rsid w:val="00D34418"/>
    <w:rsid w:val="00D415BA"/>
    <w:rsid w:val="00D521F1"/>
    <w:rsid w:val="00D54E76"/>
    <w:rsid w:val="00D572A6"/>
    <w:rsid w:val="00D644EE"/>
    <w:rsid w:val="00D8036D"/>
    <w:rsid w:val="00D831FC"/>
    <w:rsid w:val="00DA618F"/>
    <w:rsid w:val="00DC5202"/>
    <w:rsid w:val="00DC7262"/>
    <w:rsid w:val="00DD06FF"/>
    <w:rsid w:val="00DD5FBD"/>
    <w:rsid w:val="00DD5FE9"/>
    <w:rsid w:val="00DE3B0A"/>
    <w:rsid w:val="00DE5D3E"/>
    <w:rsid w:val="00E00C7A"/>
    <w:rsid w:val="00E044AA"/>
    <w:rsid w:val="00E05EC8"/>
    <w:rsid w:val="00E151C8"/>
    <w:rsid w:val="00E168B5"/>
    <w:rsid w:val="00E20D3C"/>
    <w:rsid w:val="00E24938"/>
    <w:rsid w:val="00E26F0B"/>
    <w:rsid w:val="00E334AD"/>
    <w:rsid w:val="00E37D6C"/>
    <w:rsid w:val="00E55B68"/>
    <w:rsid w:val="00E67BE6"/>
    <w:rsid w:val="00E72499"/>
    <w:rsid w:val="00E7402F"/>
    <w:rsid w:val="00E82235"/>
    <w:rsid w:val="00E82B38"/>
    <w:rsid w:val="00E853FC"/>
    <w:rsid w:val="00E8683C"/>
    <w:rsid w:val="00E96226"/>
    <w:rsid w:val="00EA2B72"/>
    <w:rsid w:val="00EA5E68"/>
    <w:rsid w:val="00EA67F0"/>
    <w:rsid w:val="00EB3E73"/>
    <w:rsid w:val="00EB6636"/>
    <w:rsid w:val="00EC7947"/>
    <w:rsid w:val="00ED669D"/>
    <w:rsid w:val="00EF1819"/>
    <w:rsid w:val="00EF4212"/>
    <w:rsid w:val="00F4091A"/>
    <w:rsid w:val="00F44104"/>
    <w:rsid w:val="00F60C1B"/>
    <w:rsid w:val="00F7003A"/>
    <w:rsid w:val="00F74360"/>
    <w:rsid w:val="00F77A92"/>
    <w:rsid w:val="00F81216"/>
    <w:rsid w:val="00F939B5"/>
    <w:rsid w:val="00FA33CF"/>
    <w:rsid w:val="00FA4073"/>
    <w:rsid w:val="00FA7271"/>
    <w:rsid w:val="00FB462F"/>
    <w:rsid w:val="00FC191A"/>
    <w:rsid w:val="00FE16FA"/>
    <w:rsid w:val="00FE244F"/>
    <w:rsid w:val="00FE328A"/>
    <w:rsid w:val="00FE6269"/>
    <w:rsid w:val="00FF1463"/>
    <w:rsid w:val="00FF21DE"/>
    <w:rsid w:val="00FF5602"/>
    <w:rsid w:val="00FF5CD6"/>
    <w:rsid w:val="6C6E4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customStyle="1" w:styleId="9">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0">
    <w:name w:val="List Paragraph"/>
    <w:basedOn w:val="1"/>
    <w:qFormat/>
    <w:uiPriority w:val="34"/>
    <w:pPr>
      <w:ind w:firstLine="420" w:firstLineChars="200"/>
    </w:pPr>
  </w:style>
  <w:style w:type="character" w:customStyle="1" w:styleId="11">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5FB8AF-D1E6-4144-AC36-EECA11166F79}">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17</Pages>
  <Words>5479</Words>
  <Characters>5902</Characters>
  <Lines>43</Lines>
  <Paragraphs>12</Paragraphs>
  <TotalTime>1</TotalTime>
  <ScaleCrop>false</ScaleCrop>
  <LinksUpToDate>false</LinksUpToDate>
  <CharactersWithSpaces>5912</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2021-09-07T03:22:00Z</dcterms:created>
  <dc:creator>李航 null</dc:creator>
  <cp:lastModifiedBy>张海亮</cp:lastModifiedBy>
  <cp:lastPrinted>2021-08-05T08:54:00Z</cp:lastPrinted>
  <dcterms:modified xsi:type="dcterms:W3CDTF">2022-09-26T07:44:19Z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4787B0816AB24E1ABFC6C95F36E1E99D</vt:lpwstr>
  </property>
</Properties>
</file>